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jc w:val="center"/>
        <w:rPr>
          <w:rFonts w:eastAsia="方正小标宋简体"/>
          <w:sz w:val="36"/>
          <w:szCs w:val="30"/>
        </w:rPr>
      </w:pPr>
      <w:r>
        <w:rPr>
          <w:rFonts w:hint="eastAsia" w:eastAsia="方正小标宋简体"/>
          <w:b/>
          <w:sz w:val="36"/>
          <w:szCs w:val="30"/>
          <w:lang w:eastAsia="zh-CN"/>
        </w:rPr>
        <w:t>高校</w:t>
      </w:r>
      <w:r>
        <w:rPr>
          <w:rFonts w:eastAsia="方正小标宋简体"/>
          <w:b/>
          <w:sz w:val="36"/>
          <w:szCs w:val="30"/>
        </w:rPr>
        <w:t>实验室安全检查项目</w:t>
      </w:r>
      <w:r>
        <w:rPr>
          <w:rFonts w:hint="eastAsia" w:eastAsia="方正小标宋简体"/>
          <w:b/>
          <w:sz w:val="36"/>
          <w:szCs w:val="30"/>
        </w:rPr>
        <w:t>表</w:t>
      </w:r>
      <w:r>
        <w:rPr>
          <w:rFonts w:hint="eastAsia" w:eastAsia="方正小标宋简体"/>
          <w:b/>
          <w:sz w:val="36"/>
          <w:szCs w:val="30"/>
          <w:lang w:eastAsia="zh-CN"/>
        </w:rPr>
        <w:t>（</w:t>
      </w:r>
      <w:r>
        <w:rPr>
          <w:rFonts w:hint="eastAsia" w:eastAsia="方正小标宋简体"/>
          <w:b/>
          <w:sz w:val="36"/>
          <w:szCs w:val="30"/>
          <w:lang w:val="en-US" w:eastAsia="zh-CN"/>
        </w:rPr>
        <w:t>2017</w:t>
      </w:r>
      <w:bookmarkStart w:id="0" w:name="_GoBack"/>
      <w:bookmarkEnd w:id="0"/>
      <w:r>
        <w:rPr>
          <w:rFonts w:hint="eastAsia" w:eastAsia="方正小标宋简体"/>
          <w:b/>
          <w:sz w:val="36"/>
          <w:szCs w:val="30"/>
          <w:lang w:eastAsia="zh-CN"/>
        </w:rPr>
        <w:t>）</w:t>
      </w:r>
    </w:p>
    <w:tbl>
      <w:tblPr>
        <w:tblStyle w:val="4"/>
        <w:tblW w:w="13338" w:type="dxa"/>
        <w:jc w:val="center"/>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03"/>
        <w:gridCol w:w="2817"/>
        <w:gridCol w:w="2287"/>
        <w:gridCol w:w="420"/>
        <w:gridCol w:w="417"/>
        <w:gridCol w:w="513"/>
        <w:gridCol w:w="1980"/>
        <w:gridCol w:w="1182"/>
        <w:gridCol w:w="18"/>
        <w:gridCol w:w="1095"/>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791"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4620" w:type="dxa"/>
            <w:gridSpan w:val="2"/>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检查项目</w:t>
            </w:r>
          </w:p>
        </w:tc>
        <w:tc>
          <w:tcPr>
            <w:tcW w:w="2287"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w:t>
            </w:r>
            <w:r>
              <w:rPr>
                <w:rFonts w:eastAsia="黑体"/>
                <w:b/>
                <w:bCs/>
                <w:kern w:val="0"/>
                <w:szCs w:val="21"/>
              </w:rPr>
              <w:t>要点</w:t>
            </w:r>
          </w:p>
        </w:tc>
        <w:tc>
          <w:tcPr>
            <w:tcW w:w="3330" w:type="dxa"/>
            <w:gridSpan w:val="4"/>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检查结果</w:t>
            </w:r>
          </w:p>
        </w:tc>
        <w:tc>
          <w:tcPr>
            <w:tcW w:w="1200" w:type="dxa"/>
            <w:gridSpan w:val="2"/>
            <w:vMerge w:val="restart"/>
            <w:shd w:val="clear" w:color="auto" w:fill="auto"/>
            <w:tcMar>
              <w:left w:w="45" w:type="dxa"/>
              <w:right w:w="45" w:type="dxa"/>
            </w:tcMar>
            <w:vAlign w:val="center"/>
          </w:tcPr>
          <w:p>
            <w:pPr>
              <w:spacing w:line="300" w:lineRule="exact"/>
              <w:jc w:val="center"/>
              <w:rPr>
                <w:rFonts w:hint="eastAsia" w:eastAsia="黑体"/>
                <w:b/>
                <w:bCs/>
                <w:kern w:val="0"/>
                <w:szCs w:val="21"/>
              </w:rPr>
            </w:pPr>
            <w:r>
              <w:rPr>
                <w:rFonts w:hint="eastAsia" w:ascii="Times New Roman" w:hAnsi="Times New Roman" w:eastAsia="仿宋_GB2312"/>
                <w:b/>
                <w:bCs/>
                <w:color w:val="000000"/>
                <w:kern w:val="0"/>
                <w:lang w:eastAsia="zh-CN"/>
              </w:rPr>
              <w:t>检查人</w:t>
            </w:r>
            <w:r>
              <w:rPr>
                <w:rFonts w:hint="eastAsia" w:eastAsia="仿宋_GB2312"/>
                <w:b/>
                <w:bCs/>
                <w:color w:val="000000"/>
                <w:kern w:val="0"/>
                <w:lang w:eastAsia="zh-CN"/>
              </w:rPr>
              <w:t>签字</w:t>
            </w:r>
          </w:p>
        </w:tc>
        <w:tc>
          <w:tcPr>
            <w:tcW w:w="1110" w:type="dxa"/>
            <w:gridSpan w:val="2"/>
            <w:vMerge w:val="restart"/>
            <w:shd w:val="clear" w:color="auto" w:fill="auto"/>
            <w:tcMar>
              <w:left w:w="45" w:type="dxa"/>
              <w:right w:w="45" w:type="dxa"/>
            </w:tcMar>
            <w:vAlign w:val="center"/>
          </w:tcPr>
          <w:p>
            <w:pPr>
              <w:spacing w:line="300" w:lineRule="exact"/>
              <w:jc w:val="center"/>
              <w:rPr>
                <w:rFonts w:hint="eastAsia" w:eastAsia="黑体"/>
                <w:b/>
                <w:bCs/>
                <w:kern w:val="0"/>
                <w:szCs w:val="21"/>
              </w:rPr>
            </w:pPr>
            <w:r>
              <w:rPr>
                <w:rFonts w:hint="eastAsia" w:ascii="Times New Roman" w:hAnsi="Times New Roman" w:eastAsia="仿宋_GB2312"/>
                <w:b/>
                <w:bCs/>
                <w:color w:val="000000"/>
                <w:kern w:val="0"/>
                <w:lang w:eastAsia="zh-CN"/>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791"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4620" w:type="dxa"/>
            <w:gridSpan w:val="2"/>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2287"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420" w:type="dxa"/>
            <w:shd w:val="clear" w:color="auto" w:fill="auto"/>
            <w:tcMar>
              <w:top w:w="28" w:type="dxa"/>
              <w:left w:w="45" w:type="dxa"/>
              <w:bottom w:w="28" w:type="dxa"/>
              <w:right w:w="45" w:type="dxa"/>
            </w:tcMar>
            <w:vAlign w:val="center"/>
          </w:tcPr>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p>
          <w:p>
            <w:pPr>
              <w:spacing w:line="240" w:lineRule="exact"/>
              <w:jc w:val="center"/>
              <w:rPr>
                <w:rFonts w:eastAsia="黑体"/>
                <w:b/>
                <w:bCs/>
                <w:kern w:val="0"/>
                <w:szCs w:val="21"/>
              </w:rPr>
            </w:pPr>
            <w:r>
              <w:rPr>
                <w:rFonts w:hint="eastAsia" w:eastAsia="黑体"/>
                <w:b/>
                <w:bCs/>
                <w:kern w:val="0"/>
                <w:szCs w:val="21"/>
              </w:rPr>
              <w:t>合</w:t>
            </w:r>
          </w:p>
        </w:tc>
        <w:tc>
          <w:tcPr>
            <w:tcW w:w="417"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r>
              <w:rPr>
                <w:rFonts w:hint="eastAsia" w:eastAsia="黑体"/>
                <w:b/>
                <w:bCs/>
                <w:kern w:val="0"/>
                <w:szCs w:val="21"/>
              </w:rPr>
              <w:t>合</w:t>
            </w:r>
          </w:p>
        </w:tc>
        <w:tc>
          <w:tcPr>
            <w:tcW w:w="513"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适</w:t>
            </w:r>
          </w:p>
          <w:p>
            <w:pPr>
              <w:spacing w:line="240" w:lineRule="exact"/>
              <w:jc w:val="center"/>
              <w:rPr>
                <w:rFonts w:eastAsia="黑体"/>
                <w:b/>
                <w:bCs/>
                <w:kern w:val="0"/>
                <w:szCs w:val="21"/>
              </w:rPr>
            </w:pPr>
            <w:r>
              <w:rPr>
                <w:rFonts w:hint="eastAsia" w:eastAsia="黑体"/>
                <w:b/>
                <w:bCs/>
                <w:kern w:val="0"/>
                <w:szCs w:val="21"/>
              </w:rPr>
              <w:t>用</w:t>
            </w:r>
          </w:p>
        </w:tc>
        <w:tc>
          <w:tcPr>
            <w:tcW w:w="1980" w:type="dxa"/>
            <w:vAlign w:val="center"/>
          </w:tcPr>
          <w:p>
            <w:pPr>
              <w:spacing w:line="300" w:lineRule="exact"/>
              <w:jc w:val="center"/>
              <w:rPr>
                <w:rFonts w:eastAsia="黑体"/>
                <w:b/>
                <w:bCs/>
                <w:kern w:val="0"/>
                <w:szCs w:val="21"/>
              </w:rPr>
            </w:pPr>
            <w:r>
              <w:rPr>
                <w:rFonts w:hint="eastAsia" w:eastAsia="黑体"/>
                <w:b/>
                <w:bCs/>
                <w:kern w:val="0"/>
                <w:szCs w:val="21"/>
              </w:rPr>
              <w:t>情况记录</w:t>
            </w:r>
          </w:p>
        </w:tc>
        <w:tc>
          <w:tcPr>
            <w:tcW w:w="1200" w:type="dxa"/>
            <w:gridSpan w:val="2"/>
            <w:vMerge w:val="continue"/>
            <w:vAlign w:val="center"/>
          </w:tcPr>
          <w:p>
            <w:pPr>
              <w:spacing w:line="300" w:lineRule="exact"/>
              <w:jc w:val="center"/>
              <w:rPr>
                <w:rFonts w:hint="eastAsia" w:eastAsia="黑体"/>
                <w:b/>
                <w:bCs/>
                <w:kern w:val="0"/>
                <w:szCs w:val="21"/>
              </w:rPr>
            </w:pPr>
          </w:p>
        </w:tc>
        <w:tc>
          <w:tcPr>
            <w:tcW w:w="1110" w:type="dxa"/>
            <w:gridSpan w:val="2"/>
            <w:vMerge w:val="continue"/>
            <w:vAlign w:val="center"/>
          </w:tcPr>
          <w:p>
            <w:pPr>
              <w:spacing w:line="300" w:lineRule="exact"/>
              <w:jc w:val="center"/>
              <w:rPr>
                <w:rFonts w:hint="eastAsia" w:eastAsia="黑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p>
        </w:tc>
        <w:tc>
          <w:tcPr>
            <w:tcW w:w="4620" w:type="dxa"/>
            <w:gridSpan w:val="2"/>
            <w:shd w:val="clear" w:color="auto" w:fill="auto"/>
            <w:tcMar>
              <w:left w:w="45" w:type="dxa"/>
              <w:right w:w="45" w:type="dxa"/>
            </w:tcMar>
            <w:vAlign w:val="center"/>
          </w:tcPr>
          <w:p>
            <w:pPr>
              <w:widowControl/>
              <w:spacing w:line="300" w:lineRule="exact"/>
              <w:rPr>
                <w:b/>
                <w:kern w:val="0"/>
                <w:szCs w:val="21"/>
              </w:rPr>
            </w:pPr>
            <w:r>
              <w:rPr>
                <w:b/>
                <w:kern w:val="0"/>
                <w:szCs w:val="21"/>
              </w:rPr>
              <w:t>组织体系</w:t>
            </w:r>
          </w:p>
        </w:tc>
        <w:tc>
          <w:tcPr>
            <w:tcW w:w="2287" w:type="dxa"/>
            <w:shd w:val="clear" w:color="auto" w:fill="auto"/>
            <w:tcMar>
              <w:left w:w="45" w:type="dxa"/>
              <w:right w:w="45" w:type="dxa"/>
            </w:tcMar>
            <w:vAlign w:val="center"/>
          </w:tcPr>
          <w:p>
            <w:pPr>
              <w:widowControl/>
              <w:spacing w:line="300" w:lineRule="exact"/>
              <w:rPr>
                <w:b/>
                <w:kern w:val="0"/>
                <w:szCs w:val="21"/>
              </w:rPr>
            </w:pPr>
          </w:p>
        </w:tc>
        <w:tc>
          <w:tcPr>
            <w:tcW w:w="420" w:type="dxa"/>
            <w:shd w:val="clear" w:color="auto" w:fill="auto"/>
            <w:tcMar>
              <w:left w:w="45" w:type="dxa"/>
              <w:right w:w="45" w:type="dxa"/>
            </w:tcMar>
            <w:vAlign w:val="center"/>
          </w:tcPr>
          <w:p>
            <w:pPr>
              <w:widowControl/>
              <w:spacing w:line="300" w:lineRule="exact"/>
              <w:rPr>
                <w:b/>
                <w:kern w:val="0"/>
                <w:szCs w:val="21"/>
              </w:rPr>
            </w:pPr>
          </w:p>
        </w:tc>
        <w:tc>
          <w:tcPr>
            <w:tcW w:w="417" w:type="dxa"/>
            <w:shd w:val="clear" w:color="auto" w:fill="auto"/>
            <w:tcMar>
              <w:left w:w="45" w:type="dxa"/>
              <w:right w:w="45" w:type="dxa"/>
            </w:tcMar>
            <w:vAlign w:val="center"/>
          </w:tcPr>
          <w:p>
            <w:pPr>
              <w:widowControl/>
              <w:spacing w:line="300" w:lineRule="exact"/>
              <w:rPr>
                <w:b/>
                <w:kern w:val="0"/>
                <w:szCs w:val="21"/>
              </w:rPr>
            </w:pPr>
          </w:p>
        </w:tc>
        <w:tc>
          <w:tcPr>
            <w:tcW w:w="513" w:type="dxa"/>
            <w:shd w:val="clear" w:color="auto" w:fill="auto"/>
            <w:tcMar>
              <w:left w:w="45" w:type="dxa"/>
              <w:right w:w="45" w:type="dxa"/>
            </w:tcMar>
            <w:vAlign w:val="center"/>
          </w:tcPr>
          <w:p>
            <w:pPr>
              <w:widowControl/>
              <w:spacing w:line="300" w:lineRule="exact"/>
              <w:rPr>
                <w:b/>
                <w:kern w:val="0"/>
                <w:szCs w:val="21"/>
              </w:rPr>
            </w:pPr>
          </w:p>
        </w:tc>
        <w:tc>
          <w:tcPr>
            <w:tcW w:w="1980" w:type="dxa"/>
            <w:shd w:val="clear" w:color="auto" w:fill="auto"/>
            <w:tcMar>
              <w:left w:w="45" w:type="dxa"/>
              <w:right w:w="45" w:type="dxa"/>
            </w:tcMar>
            <w:vAlign w:val="center"/>
          </w:tcPr>
          <w:p>
            <w:pPr>
              <w:widowControl/>
              <w:spacing w:line="300" w:lineRule="exact"/>
              <w:rPr>
                <w:b/>
                <w:kern w:val="0"/>
                <w:szCs w:val="21"/>
              </w:rPr>
            </w:pPr>
          </w:p>
        </w:tc>
        <w:tc>
          <w:tcPr>
            <w:tcW w:w="1200" w:type="dxa"/>
            <w:gridSpan w:val="2"/>
            <w:shd w:val="clear" w:color="auto" w:fill="auto"/>
            <w:tcMar>
              <w:left w:w="45" w:type="dxa"/>
              <w:right w:w="45" w:type="dxa"/>
            </w:tcMar>
            <w:vAlign w:val="center"/>
          </w:tcPr>
          <w:p>
            <w:pPr>
              <w:widowControl/>
              <w:spacing w:line="300" w:lineRule="exact"/>
              <w:rPr>
                <w:b/>
                <w:kern w:val="0"/>
                <w:szCs w:val="21"/>
              </w:rPr>
            </w:pPr>
          </w:p>
        </w:tc>
        <w:tc>
          <w:tcPr>
            <w:tcW w:w="1110" w:type="dxa"/>
            <w:gridSpan w:val="2"/>
            <w:shd w:val="clear" w:color="auto" w:fill="auto"/>
            <w:tcMar>
              <w:left w:w="45" w:type="dxa"/>
              <w:right w:w="45" w:type="dxa"/>
            </w:tcMar>
            <w:vAlign w:val="center"/>
          </w:tcPr>
          <w:p>
            <w:pPr>
              <w:widowControl/>
              <w:spacing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r>
              <w:rPr>
                <w:rFonts w:hint="eastAsia"/>
                <w:b/>
                <w:kern w:val="0"/>
                <w:szCs w:val="21"/>
                <w:lang w:val="en-US" w:eastAsia="zh-CN"/>
              </w:rPr>
              <w:t>1</w:t>
            </w:r>
          </w:p>
        </w:tc>
        <w:tc>
          <w:tcPr>
            <w:tcW w:w="4620" w:type="dxa"/>
            <w:gridSpan w:val="2"/>
            <w:shd w:val="clear" w:color="auto" w:fill="auto"/>
            <w:tcMar>
              <w:left w:w="45" w:type="dxa"/>
              <w:right w:w="45" w:type="dxa"/>
            </w:tcMar>
            <w:vAlign w:val="center"/>
          </w:tcPr>
          <w:p>
            <w:pPr>
              <w:widowControl/>
              <w:spacing w:line="300" w:lineRule="exact"/>
              <w:rPr>
                <w:b/>
                <w:kern w:val="0"/>
                <w:szCs w:val="21"/>
              </w:rPr>
            </w:pPr>
            <w:r>
              <w:rPr>
                <w:rFonts w:hint="eastAsia"/>
                <w:b/>
                <w:kern w:val="0"/>
                <w:szCs w:val="21"/>
                <w:lang w:eastAsia="zh-CN"/>
              </w:rPr>
              <w:t>学院</w:t>
            </w:r>
            <w:r>
              <w:rPr>
                <w:b/>
                <w:kern w:val="0"/>
                <w:szCs w:val="21"/>
              </w:rPr>
              <w:t>层面安全责任体系</w:t>
            </w:r>
          </w:p>
        </w:tc>
        <w:tc>
          <w:tcPr>
            <w:tcW w:w="2287" w:type="dxa"/>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420" w:type="dxa"/>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417" w:type="dxa"/>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513" w:type="dxa"/>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1980" w:type="dxa"/>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1200" w:type="dxa"/>
            <w:gridSpan w:val="2"/>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1110" w:type="dxa"/>
            <w:gridSpan w:val="2"/>
            <w:shd w:val="clear" w:color="auto" w:fill="auto"/>
            <w:tcMar>
              <w:left w:w="45" w:type="dxa"/>
              <w:right w:w="45" w:type="dxa"/>
            </w:tcMar>
            <w:vAlign w:val="center"/>
          </w:tcPr>
          <w:p>
            <w:pPr>
              <w:widowControl/>
              <w:spacing w:line="300" w:lineRule="exact"/>
              <w:rPr>
                <w:rFonts w:hint="eastAsia"/>
                <w:b/>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lang w:val="en-US" w:eastAsia="zh-CN"/>
              </w:rPr>
              <w:t>1</w:t>
            </w:r>
            <w:r>
              <w:rPr>
                <w:kern w:val="0"/>
                <w:szCs w:val="21"/>
              </w:rPr>
              <w:t>.1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成立实验室安全领导小组，由党/政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bCs/>
                <w:kern w:val="0"/>
                <w:szCs w:val="21"/>
                <w:lang w:eastAsia="zh-CN"/>
              </w:rPr>
              <w:t>学院</w:t>
            </w:r>
            <w:r>
              <w:rPr>
                <w:bCs/>
                <w:kern w:val="0"/>
                <w:szCs w:val="21"/>
              </w:rPr>
              <w:t>文件</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lang w:val="en-US" w:eastAsia="zh-CN"/>
              </w:rPr>
              <w:t>1</w:t>
            </w:r>
            <w:r>
              <w:rPr>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lang w:eastAsia="zh-CN"/>
              </w:rPr>
              <w:t>学院</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w:t>
            </w:r>
            <w:r>
              <w:rPr>
                <w:rFonts w:hint="eastAsia"/>
                <w:kern w:val="0"/>
                <w:szCs w:val="21"/>
                <w:lang w:eastAsia="zh-CN"/>
              </w:rPr>
              <w:t>学院</w:t>
            </w:r>
            <w:r>
              <w:rPr>
                <w:kern w:val="0"/>
                <w:szCs w:val="21"/>
              </w:rPr>
              <w:t>有兼职实验室安全管理人</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lang w:eastAsia="zh-CN"/>
              </w:rPr>
              <w:t>学院</w:t>
            </w:r>
            <w:r>
              <w:rPr>
                <w:rFonts w:hint="eastAsia"/>
                <w:kern w:val="0"/>
                <w:szCs w:val="21"/>
              </w:rPr>
              <w:t>任命</w:t>
            </w:r>
            <w:r>
              <w:rPr>
                <w:kern w:val="0"/>
                <w:szCs w:val="21"/>
              </w:rPr>
              <w:t>文件、</w:t>
            </w:r>
            <w:r>
              <w:rPr>
                <w:bCs/>
                <w:kern w:val="0"/>
                <w:szCs w:val="21"/>
              </w:rPr>
              <w:t>工作记录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center"/>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lang w:val="en-US" w:eastAsia="zh-CN"/>
              </w:rPr>
              <w:t>1</w:t>
            </w:r>
            <w:r>
              <w:rPr>
                <w:kern w:val="0"/>
                <w:szCs w:val="21"/>
              </w:rPr>
              <w:t>.3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lang w:eastAsia="zh-CN"/>
              </w:rPr>
              <w:t>学院</w:t>
            </w:r>
            <w:r>
              <w:rPr>
                <w:kern w:val="0"/>
                <w:szCs w:val="21"/>
              </w:rPr>
              <w:t>安全责任体系，所有实验房间都需明确安全责任人</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rFonts w:hint="eastAsia"/>
                <w:kern w:val="0"/>
                <w:szCs w:val="21"/>
                <w:lang w:eastAsia="zh-CN"/>
              </w:rPr>
              <w:t>学院</w:t>
            </w:r>
            <w:r>
              <w:rPr>
                <w:kern w:val="0"/>
                <w:szCs w:val="21"/>
              </w:rPr>
              <w:t>发布的文件</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110" w:type="dxa"/>
            <w:gridSpan w:val="2"/>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lang w:val="en-US" w:eastAsia="zh-CN"/>
              </w:rPr>
              <w:t>1</w:t>
            </w:r>
            <w:r>
              <w:rPr>
                <w:kern w:val="0"/>
                <w:szCs w:val="21"/>
              </w:rPr>
              <w:t>.5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bCs/>
                <w:kern w:val="0"/>
                <w:szCs w:val="21"/>
              </w:rPr>
            </w:pPr>
            <w:r>
              <w:rPr>
                <w:b/>
                <w:bCs/>
                <w:kern w:val="0"/>
                <w:szCs w:val="21"/>
              </w:rPr>
              <w:t>1.</w:t>
            </w:r>
            <w:r>
              <w:rPr>
                <w:rFonts w:hint="eastAsia"/>
                <w:b/>
                <w:bCs/>
                <w:kern w:val="0"/>
                <w:szCs w:val="21"/>
                <w:lang w:val="en-US" w:eastAsia="zh-CN"/>
              </w:rPr>
              <w:t>2</w:t>
            </w:r>
          </w:p>
        </w:tc>
        <w:tc>
          <w:tcPr>
            <w:tcW w:w="4620" w:type="dxa"/>
            <w:gridSpan w:val="2"/>
            <w:shd w:val="clear" w:color="auto" w:fill="auto"/>
            <w:tcMar>
              <w:left w:w="45" w:type="dxa"/>
              <w:right w:w="45" w:type="dxa"/>
            </w:tcMar>
            <w:vAlign w:val="center"/>
          </w:tcPr>
          <w:p>
            <w:pPr>
              <w:widowControl/>
              <w:spacing w:line="300" w:lineRule="exact"/>
              <w:rPr>
                <w:b/>
                <w:bCs/>
                <w:kern w:val="0"/>
                <w:szCs w:val="21"/>
              </w:rPr>
            </w:pPr>
            <w:r>
              <w:rPr>
                <w:b/>
                <w:bCs/>
                <w:kern w:val="0"/>
                <w:szCs w:val="21"/>
              </w:rPr>
              <w:t>经费保障</w:t>
            </w:r>
          </w:p>
        </w:tc>
        <w:tc>
          <w:tcPr>
            <w:tcW w:w="2287" w:type="dxa"/>
            <w:shd w:val="clear" w:color="auto" w:fill="auto"/>
            <w:tcMar>
              <w:left w:w="45" w:type="dxa"/>
              <w:right w:w="45" w:type="dxa"/>
            </w:tcMar>
            <w:vAlign w:val="center"/>
          </w:tcPr>
          <w:p>
            <w:pPr>
              <w:widowControl/>
              <w:spacing w:line="300" w:lineRule="exact"/>
              <w:rPr>
                <w:b/>
                <w:bCs/>
                <w:kern w:val="0"/>
                <w:szCs w:val="21"/>
              </w:rPr>
            </w:pPr>
          </w:p>
        </w:tc>
        <w:tc>
          <w:tcPr>
            <w:tcW w:w="420" w:type="dxa"/>
            <w:shd w:val="clear" w:color="auto" w:fill="auto"/>
            <w:tcMar>
              <w:left w:w="45" w:type="dxa"/>
              <w:right w:w="45" w:type="dxa"/>
            </w:tcMar>
            <w:vAlign w:val="center"/>
          </w:tcPr>
          <w:p>
            <w:pPr>
              <w:widowControl/>
              <w:spacing w:line="300" w:lineRule="exact"/>
              <w:rPr>
                <w:b/>
                <w:bCs/>
                <w:kern w:val="0"/>
                <w:szCs w:val="21"/>
              </w:rPr>
            </w:pPr>
          </w:p>
        </w:tc>
        <w:tc>
          <w:tcPr>
            <w:tcW w:w="417" w:type="dxa"/>
            <w:shd w:val="clear" w:color="auto" w:fill="auto"/>
            <w:tcMar>
              <w:left w:w="45" w:type="dxa"/>
              <w:right w:w="45" w:type="dxa"/>
            </w:tcMar>
            <w:vAlign w:val="center"/>
          </w:tcPr>
          <w:p>
            <w:pPr>
              <w:widowControl/>
              <w:spacing w:line="300" w:lineRule="exact"/>
              <w:rPr>
                <w:b/>
                <w:bCs/>
                <w:kern w:val="0"/>
                <w:szCs w:val="21"/>
              </w:rPr>
            </w:pPr>
          </w:p>
        </w:tc>
        <w:tc>
          <w:tcPr>
            <w:tcW w:w="513" w:type="dxa"/>
            <w:shd w:val="clear" w:color="auto" w:fill="auto"/>
            <w:tcMar>
              <w:left w:w="45" w:type="dxa"/>
              <w:right w:w="45" w:type="dxa"/>
            </w:tcMar>
            <w:vAlign w:val="center"/>
          </w:tcPr>
          <w:p>
            <w:pPr>
              <w:widowControl/>
              <w:spacing w:line="300" w:lineRule="exact"/>
              <w:rPr>
                <w:b/>
                <w:bCs/>
                <w:kern w:val="0"/>
                <w:szCs w:val="21"/>
              </w:rPr>
            </w:pPr>
          </w:p>
        </w:tc>
        <w:tc>
          <w:tcPr>
            <w:tcW w:w="1980" w:type="dxa"/>
            <w:shd w:val="clear" w:color="auto" w:fill="auto"/>
            <w:tcMar>
              <w:left w:w="45" w:type="dxa"/>
              <w:right w:w="45" w:type="dxa"/>
            </w:tcMar>
            <w:vAlign w:val="center"/>
          </w:tcPr>
          <w:p>
            <w:pPr>
              <w:widowControl/>
              <w:spacing w:line="300" w:lineRule="exact"/>
              <w:rPr>
                <w:b/>
                <w:bCs/>
                <w:kern w:val="0"/>
                <w:szCs w:val="21"/>
              </w:rPr>
            </w:pPr>
          </w:p>
        </w:tc>
        <w:tc>
          <w:tcPr>
            <w:tcW w:w="1200" w:type="dxa"/>
            <w:gridSpan w:val="2"/>
            <w:shd w:val="clear" w:color="auto" w:fill="auto"/>
            <w:tcMar>
              <w:left w:w="45" w:type="dxa"/>
              <w:right w:w="45" w:type="dxa"/>
            </w:tcMar>
            <w:vAlign w:val="center"/>
          </w:tcPr>
          <w:p>
            <w:pPr>
              <w:widowControl/>
              <w:spacing w:line="300" w:lineRule="exact"/>
              <w:rPr>
                <w:b/>
                <w:bCs/>
                <w:kern w:val="0"/>
                <w:szCs w:val="21"/>
              </w:rPr>
            </w:pPr>
          </w:p>
        </w:tc>
        <w:tc>
          <w:tcPr>
            <w:tcW w:w="1110" w:type="dxa"/>
            <w:gridSpan w:val="2"/>
            <w:shd w:val="clear" w:color="auto" w:fill="auto"/>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2</w:t>
            </w:r>
            <w:r>
              <w:rPr>
                <w:rFonts w:hint="eastAsia"/>
                <w:kern w:val="0"/>
                <w:szCs w:val="21"/>
              </w:rPr>
              <w:t>.</w:t>
            </w:r>
            <w:r>
              <w:rPr>
                <w:rFonts w:hint="eastAsia"/>
                <w:kern w:val="0"/>
                <w:szCs w:val="21"/>
                <w:lang w:val="en-US" w:eastAsia="zh-CN"/>
              </w:rPr>
              <w:t>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eastAsia="zh-CN"/>
              </w:rPr>
              <w:t>学院</w:t>
            </w:r>
            <w:r>
              <w:rPr>
                <w:rFonts w:hint="eastAsia"/>
                <w:kern w:val="0"/>
                <w:szCs w:val="21"/>
              </w:rPr>
              <w:t>、课题组</w:t>
            </w:r>
            <w:r>
              <w:rPr>
                <w:kern w:val="0"/>
                <w:szCs w:val="21"/>
              </w:rPr>
              <w:t>等</w:t>
            </w:r>
            <w:r>
              <w:rPr>
                <w:rFonts w:hint="eastAsia"/>
                <w:kern w:val="0"/>
                <w:szCs w:val="21"/>
              </w:rPr>
              <w:t>有</w:t>
            </w:r>
            <w:r>
              <w:rPr>
                <w:kern w:val="0"/>
                <w:szCs w:val="21"/>
              </w:rPr>
              <w:t>自筹经费投入实验室安全建设与管理</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证据</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110" w:type="dxa"/>
            <w:gridSpan w:val="2"/>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规章制度</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w:t>
            </w:r>
            <w:r>
              <w:rPr>
                <w:rFonts w:hint="eastAsia"/>
                <w:b/>
                <w:kern w:val="0"/>
                <w:szCs w:val="21"/>
                <w:lang w:val="en-US" w:eastAsia="zh-CN"/>
              </w:rPr>
              <w:t>1</w:t>
            </w:r>
          </w:p>
        </w:tc>
        <w:tc>
          <w:tcPr>
            <w:tcW w:w="4620" w:type="dxa"/>
            <w:gridSpan w:val="2"/>
            <w:shd w:val="clear" w:color="auto" w:fill="auto"/>
            <w:tcMar>
              <w:left w:w="45" w:type="dxa"/>
              <w:right w:w="45" w:type="dxa"/>
            </w:tcMar>
            <w:vAlign w:val="center"/>
          </w:tcPr>
          <w:p>
            <w:pPr>
              <w:widowControl/>
              <w:spacing w:line="300" w:lineRule="exact"/>
              <w:rPr>
                <w:b/>
                <w:kern w:val="0"/>
                <w:szCs w:val="21"/>
              </w:rPr>
            </w:pPr>
            <w:r>
              <w:rPr>
                <w:rFonts w:hint="eastAsia"/>
                <w:b/>
                <w:kern w:val="0"/>
                <w:szCs w:val="21"/>
                <w:lang w:eastAsia="zh-CN"/>
              </w:rPr>
              <w:t>学院</w:t>
            </w:r>
            <w:r>
              <w:rPr>
                <w:b/>
                <w:kern w:val="0"/>
                <w:szCs w:val="21"/>
              </w:rPr>
              <w:t>层面的安全管理制度</w:t>
            </w:r>
          </w:p>
        </w:tc>
        <w:tc>
          <w:tcPr>
            <w:tcW w:w="2287" w:type="dxa"/>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420" w:type="dxa"/>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417" w:type="dxa"/>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513" w:type="dxa"/>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1980" w:type="dxa"/>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1200" w:type="dxa"/>
            <w:gridSpan w:val="2"/>
            <w:shd w:val="clear" w:color="auto" w:fill="auto"/>
            <w:tcMar>
              <w:left w:w="45" w:type="dxa"/>
              <w:right w:w="45" w:type="dxa"/>
            </w:tcMar>
            <w:vAlign w:val="center"/>
          </w:tcPr>
          <w:p>
            <w:pPr>
              <w:widowControl/>
              <w:spacing w:line="300" w:lineRule="exact"/>
              <w:rPr>
                <w:rFonts w:hint="eastAsia"/>
                <w:b/>
                <w:kern w:val="0"/>
                <w:szCs w:val="21"/>
                <w:lang w:eastAsia="zh-CN"/>
              </w:rPr>
            </w:pPr>
          </w:p>
        </w:tc>
        <w:tc>
          <w:tcPr>
            <w:tcW w:w="1110" w:type="dxa"/>
            <w:gridSpan w:val="2"/>
            <w:shd w:val="clear" w:color="auto" w:fill="auto"/>
            <w:tcMar>
              <w:left w:w="45" w:type="dxa"/>
              <w:right w:w="45" w:type="dxa"/>
            </w:tcMar>
            <w:vAlign w:val="center"/>
          </w:tcPr>
          <w:p>
            <w:pPr>
              <w:widowControl/>
              <w:spacing w:line="300" w:lineRule="exact"/>
              <w:rPr>
                <w:rFonts w:hint="eastAsia"/>
                <w:b/>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w:t>
            </w:r>
            <w:r>
              <w:rPr>
                <w:rFonts w:hint="eastAsia"/>
                <w:bCs/>
                <w:kern w:val="0"/>
                <w:szCs w:val="21"/>
                <w:lang w:val="en-US" w:eastAsia="zh-CN"/>
              </w:rPr>
              <w:t>1</w:t>
            </w:r>
            <w:r>
              <w:rPr>
                <w:bCs/>
                <w:kern w:val="0"/>
                <w:szCs w:val="21"/>
              </w:rPr>
              <w:t>.1</w:t>
            </w:r>
          </w:p>
        </w:tc>
        <w:tc>
          <w:tcPr>
            <w:tcW w:w="4620" w:type="dxa"/>
            <w:gridSpan w:val="2"/>
            <w:shd w:val="clear" w:color="auto" w:fill="auto"/>
            <w:tcMar>
              <w:left w:w="45" w:type="dxa"/>
              <w:right w:w="45" w:type="dxa"/>
            </w:tcMar>
            <w:vAlign w:val="center"/>
          </w:tcPr>
          <w:p>
            <w:pPr>
              <w:widowControl/>
              <w:spacing w:line="300" w:lineRule="exact"/>
              <w:jc w:val="left"/>
              <w:rPr>
                <w:bCs/>
                <w:kern w:val="0"/>
                <w:szCs w:val="21"/>
              </w:rPr>
            </w:pPr>
            <w:r>
              <w:rPr>
                <w:bCs/>
                <w:kern w:val="0"/>
                <w:szCs w:val="21"/>
              </w:rPr>
              <w:t>具有学科特色的实验室安全管理制度</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bCs/>
                <w:kern w:val="0"/>
                <w:szCs w:val="21"/>
                <w:lang w:eastAsia="zh-CN"/>
              </w:rPr>
              <w:t>学院</w:t>
            </w:r>
            <w:r>
              <w:rPr>
                <w:rFonts w:hint="eastAsia"/>
                <w:bCs/>
                <w:kern w:val="0"/>
                <w:szCs w:val="21"/>
              </w:rPr>
              <w:t>制度是否公开明示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lang w:val="en-US" w:eastAsia="zh-CN"/>
              </w:rPr>
              <w:t>1</w:t>
            </w:r>
            <w:r>
              <w:rPr>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有安全检查与值班值日制度</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lang w:val="en-US" w:eastAsia="zh-CN"/>
              </w:rPr>
              <w:t>1</w:t>
            </w:r>
            <w:r>
              <w:rPr>
                <w:kern w:val="0"/>
                <w:szCs w:val="21"/>
              </w:rPr>
              <w:t>.3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lang w:val="en-US" w:eastAsia="zh-CN"/>
              </w:rPr>
              <w:t>1</w:t>
            </w:r>
            <w:r>
              <w:rPr>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lang w:val="en-US" w:eastAsia="zh-CN"/>
              </w:rPr>
              <w:t>1</w:t>
            </w:r>
            <w:r>
              <w:rPr>
                <w:kern w:val="0"/>
                <w:szCs w:val="21"/>
              </w:rPr>
              <w:t>.5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查看开题报告、新开设教学实验审批资料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w:t>
            </w:r>
            <w:r>
              <w:rPr>
                <w:rFonts w:hint="eastAsia"/>
                <w:kern w:val="0"/>
                <w:szCs w:val="21"/>
                <w:lang w:val="en-US" w:eastAsia="zh-CN"/>
              </w:rPr>
              <w:t>1</w:t>
            </w:r>
            <w:r>
              <w:rPr>
                <w:rFonts w:hint="eastAsia"/>
                <w:kern w:val="0"/>
                <w:szCs w:val="21"/>
              </w:rPr>
              <w:t>.6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有体现学科特色的应急预案</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安全教育</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3.1</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3.1.1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开设合适的实验室安全必修课或选修课</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化学、生物等安全重点防范学科应开设必修课</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3.1.2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每年</w:t>
            </w:r>
            <w:r>
              <w:rPr>
                <w:kern w:val="0"/>
                <w:szCs w:val="21"/>
              </w:rPr>
              <w:t>开展</w:t>
            </w:r>
            <w:r>
              <w:rPr>
                <w:rFonts w:hint="eastAsia"/>
                <w:kern w:val="0"/>
                <w:szCs w:val="21"/>
                <w:lang w:eastAsia="zh-CN"/>
              </w:rPr>
              <w:t>教师</w:t>
            </w:r>
            <w:r>
              <w:rPr>
                <w:kern w:val="0"/>
                <w:szCs w:val="21"/>
              </w:rPr>
              <w:t>和学生安全教育培训</w:t>
            </w:r>
            <w:r>
              <w:rPr>
                <w:rFonts w:hint="eastAsia"/>
                <w:kern w:val="0"/>
                <w:szCs w:val="21"/>
              </w:rPr>
              <w:t>活动，有记录</w:t>
            </w:r>
          </w:p>
        </w:tc>
        <w:tc>
          <w:tcPr>
            <w:tcW w:w="2287"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查看历年存档记录，包含培训时间、内容、人数、通知、会场照片等</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3.1.3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eastAsia="zh-CN"/>
              </w:rPr>
              <w:t>学院</w:t>
            </w:r>
            <w:r>
              <w:rPr>
                <w:kern w:val="0"/>
                <w:szCs w:val="21"/>
              </w:rPr>
              <w:t>有专业安全培训活动，建立实验室准入制度</w:t>
            </w:r>
          </w:p>
        </w:tc>
        <w:tc>
          <w:tcPr>
            <w:tcW w:w="2287"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开展结合学科特点的应急演练，有记录</w:t>
            </w:r>
          </w:p>
        </w:tc>
        <w:tc>
          <w:tcPr>
            <w:tcW w:w="2287"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3.2</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实验室安全</w:t>
            </w:r>
            <w:r>
              <w:rPr>
                <w:rFonts w:hint="eastAsia"/>
                <w:b/>
                <w:kern w:val="0"/>
                <w:szCs w:val="21"/>
              </w:rPr>
              <w:t>知识考试</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3.2.</w:t>
            </w:r>
            <w:r>
              <w:rPr>
                <w:rFonts w:hint="eastAsia"/>
                <w:kern w:val="0"/>
                <w:szCs w:val="21"/>
                <w:lang w:val="en-US" w:eastAsia="zh-CN"/>
              </w:rPr>
              <w:t>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3.3</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3.3.1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有适合</w:t>
            </w:r>
            <w:r>
              <w:rPr>
                <w:rFonts w:hint="eastAsia"/>
                <w:kern w:val="0"/>
                <w:szCs w:val="21"/>
                <w:lang w:eastAsia="zh-CN"/>
              </w:rPr>
              <w:t>实验室</w:t>
            </w:r>
            <w:r>
              <w:rPr>
                <w:rFonts w:hint="eastAsia"/>
                <w:kern w:val="0"/>
                <w:szCs w:val="21"/>
              </w:rPr>
              <w:t>特色的安全文化建设计划</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查看资料</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3.3.2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实验室安全手册发放到每一位师生，承诺书归档</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查看每年发放记录、师生签字的承诺书</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3.3.3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eastAsia="zh-CN"/>
              </w:rPr>
              <w:t>学院、实验室</w:t>
            </w:r>
            <w:r>
              <w:rPr>
                <w:kern w:val="0"/>
                <w:szCs w:val="21"/>
              </w:rPr>
              <w:t>网页设立专门的板块开展安全宣传、</w:t>
            </w:r>
            <w:r>
              <w:rPr>
                <w:rFonts w:hint="eastAsia"/>
                <w:kern w:val="0"/>
                <w:szCs w:val="21"/>
              </w:rPr>
              <w:t>经验交流等</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查看相关网页</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3.3.4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3.3.5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通过各种信息</w:t>
            </w:r>
            <w:r>
              <w:rPr>
                <w:rFonts w:hint="eastAsia"/>
                <w:kern w:val="0"/>
                <w:szCs w:val="21"/>
              </w:rPr>
              <w:t>/媒体</w:t>
            </w:r>
            <w:r>
              <w:rPr>
                <w:kern w:val="0"/>
                <w:szCs w:val="21"/>
              </w:rPr>
              <w:t>平台对师生进行安全知识传输和温馨提醒</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查看信息</w:t>
            </w:r>
            <w:r>
              <w:rPr>
                <w:rFonts w:hint="eastAsia"/>
                <w:bCs/>
                <w:kern w:val="0"/>
                <w:szCs w:val="21"/>
              </w:rPr>
              <w:t>/媒体</w:t>
            </w:r>
            <w:r>
              <w:rPr>
                <w:bCs/>
                <w:kern w:val="0"/>
                <w:szCs w:val="21"/>
              </w:rPr>
              <w:t>平台</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c>
          <w:tcPr>
            <w:tcW w:w="2287"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4620" w:type="dxa"/>
            <w:gridSpan w:val="2"/>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c>
          <w:tcPr>
            <w:tcW w:w="2287"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4620" w:type="dxa"/>
            <w:gridSpan w:val="2"/>
            <w:shd w:val="clear" w:color="auto" w:fill="auto"/>
            <w:tcMar>
              <w:left w:w="45" w:type="dxa"/>
              <w:right w:w="45" w:type="dxa"/>
            </w:tcMar>
            <w:vAlign w:val="center"/>
          </w:tcPr>
          <w:p>
            <w:pPr>
              <w:widowControl/>
              <w:spacing w:line="300" w:lineRule="exact"/>
              <w:jc w:val="left"/>
              <w:rPr>
                <w:bCs/>
                <w:kern w:val="0"/>
                <w:szCs w:val="21"/>
              </w:rPr>
            </w:pPr>
            <w:r>
              <w:rPr>
                <w:bCs/>
                <w:kern w:val="0"/>
                <w:szCs w:val="21"/>
              </w:rPr>
              <w:t>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查看清单和明细</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4620" w:type="dxa"/>
            <w:gridSpan w:val="2"/>
            <w:shd w:val="clear" w:color="auto" w:fill="auto"/>
            <w:tcMar>
              <w:left w:w="45" w:type="dxa"/>
              <w:right w:w="45" w:type="dxa"/>
            </w:tcMar>
            <w:vAlign w:val="center"/>
          </w:tcPr>
          <w:p>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4.1.4</w:t>
            </w:r>
          </w:p>
        </w:tc>
        <w:tc>
          <w:tcPr>
            <w:tcW w:w="4620" w:type="dxa"/>
            <w:gridSpan w:val="2"/>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rFonts w:hint="eastAsia"/>
                <w:bCs/>
                <w:kern w:val="0"/>
                <w:szCs w:val="21"/>
                <w:lang w:eastAsia="zh-CN"/>
              </w:rPr>
              <w:t>学院</w:t>
            </w:r>
            <w:r>
              <w:rPr>
                <w:bCs/>
                <w:kern w:val="0"/>
                <w:szCs w:val="21"/>
              </w:rPr>
              <w:t>备案</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4620" w:type="dxa"/>
            <w:gridSpan w:val="2"/>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c>
          <w:tcPr>
            <w:tcW w:w="2287"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w:t>
            </w:r>
            <w:r>
              <w:rPr>
                <w:rFonts w:hint="eastAsia"/>
                <w:kern w:val="0"/>
                <w:szCs w:val="21"/>
                <w:lang w:val="en-US" w:eastAsia="zh-CN"/>
              </w:rPr>
              <w:t>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2287" w:type="dxa"/>
            <w:vMerge w:val="restart"/>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w:t>
            </w:r>
            <w:r>
              <w:rPr>
                <w:rFonts w:hint="eastAsia"/>
                <w:kern w:val="0"/>
                <w:szCs w:val="21"/>
                <w:lang w:val="en-US" w:eastAsia="zh-CN"/>
              </w:rPr>
              <w:t>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eastAsia="zh-CN"/>
              </w:rPr>
              <w:t>学院</w:t>
            </w:r>
            <w:r>
              <w:rPr>
                <w:kern w:val="0"/>
                <w:szCs w:val="21"/>
              </w:rPr>
              <w:t>组织</w:t>
            </w:r>
            <w:r>
              <w:rPr>
                <w:rFonts w:hint="eastAsia"/>
                <w:kern w:val="0"/>
                <w:szCs w:val="21"/>
              </w:rPr>
              <w:t>专门人员开展定期检查，每月不少于1次，并记录存档</w:t>
            </w:r>
          </w:p>
        </w:tc>
        <w:tc>
          <w:tcPr>
            <w:tcW w:w="2287"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w:t>
            </w:r>
            <w:r>
              <w:rPr>
                <w:rFonts w:hint="eastAsia"/>
                <w:kern w:val="0"/>
                <w:szCs w:val="21"/>
                <w:lang w:val="en-US" w:eastAsia="zh-CN"/>
              </w:rPr>
              <w:t>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4620" w:type="dxa"/>
            <w:gridSpan w:val="2"/>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隐患整改</w:t>
            </w:r>
          </w:p>
        </w:tc>
        <w:tc>
          <w:tcPr>
            <w:tcW w:w="2287"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w:t>
            </w:r>
            <w:r>
              <w:rPr>
                <w:rFonts w:hint="eastAsia"/>
                <w:kern w:val="0"/>
                <w:szCs w:val="21"/>
                <w:lang w:eastAsia="zh-CN"/>
              </w:rPr>
              <w:t>学院</w:t>
            </w:r>
            <w:r>
              <w:rPr>
                <w:rFonts w:hint="eastAsia"/>
                <w:kern w:val="0"/>
                <w:szCs w:val="21"/>
              </w:rPr>
              <w:t>（</w:t>
            </w:r>
            <w:r>
              <w:rPr>
                <w:kern w:val="0"/>
                <w:szCs w:val="21"/>
              </w:rPr>
              <w:t>如网上公示、整改通知书等</w:t>
            </w:r>
            <w:r>
              <w:rPr>
                <w:rFonts w:hint="eastAsia"/>
                <w:kern w:val="0"/>
                <w:szCs w:val="21"/>
              </w:rPr>
              <w:t>）</w:t>
            </w:r>
            <w:r>
              <w:rPr>
                <w:kern w:val="0"/>
                <w:szCs w:val="21"/>
              </w:rPr>
              <w:t>，并规范存档</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w:t>
            </w:r>
            <w:r>
              <w:rPr>
                <w:rFonts w:hint="eastAsia"/>
                <w:bCs/>
                <w:kern w:val="0"/>
                <w:szCs w:val="21"/>
                <w:lang w:eastAsia="zh-CN"/>
              </w:rPr>
              <w:t>学院</w:t>
            </w:r>
            <w:r>
              <w:rPr>
                <w:bCs/>
                <w:kern w:val="0"/>
                <w:szCs w:val="21"/>
              </w:rPr>
              <w:t>单位签收</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eastAsia="zh-CN"/>
              </w:rPr>
              <w:t>学院</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4.3.3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4.4.</w:t>
            </w:r>
            <w:r>
              <w:rPr>
                <w:rFonts w:hint="eastAsia"/>
                <w:kern w:val="0"/>
                <w:szCs w:val="21"/>
                <w:lang w:val="en-US" w:eastAsia="zh-CN"/>
              </w:rPr>
              <w:t>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eastAsia="zh-CN"/>
              </w:rPr>
              <w:t>学院</w:t>
            </w:r>
            <w:r>
              <w:rPr>
                <w:rFonts w:hint="eastAsia"/>
                <w:kern w:val="0"/>
                <w:szCs w:val="21"/>
              </w:rPr>
              <w:t>有安全检查记录，</w:t>
            </w:r>
            <w:r>
              <w:rPr>
                <w:kern w:val="0"/>
                <w:szCs w:val="21"/>
              </w:rPr>
              <w:t>存档记录规范</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4.5</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检查人员规范</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b/>
                <w:kern w:val="0"/>
                <w:szCs w:val="21"/>
              </w:rPr>
            </w:pPr>
            <w:r>
              <w:rPr>
                <w:b/>
                <w:kern w:val="0"/>
                <w:szCs w:val="21"/>
              </w:rPr>
              <w:t>5.1</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室内外</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有信息牌，信息完整，应急电话有效</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rFonts w:eastAsia="等线"/>
                <w:szCs w:val="21"/>
              </w:rPr>
              <w:t>5.1.3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实验室应张贴针对安全风险点的警示标识</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rFonts w:eastAsia="等线"/>
                <w:szCs w:val="21"/>
              </w:rPr>
              <w:t>5.1.4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实验室消防通道通畅，公共场所、通道不堆放仪器、物品</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消防通道通畅</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5.1.5</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），但必须保证留有大于2.0米净宽的消防通道，需</w:t>
            </w:r>
            <w:r>
              <w:rPr>
                <w:szCs w:val="21"/>
              </w:rPr>
              <w:t>向学校报</w:t>
            </w:r>
            <w:r>
              <w:rPr>
                <w:rFonts w:hint="eastAsia"/>
                <w:szCs w:val="21"/>
              </w:rPr>
              <w:t>批；不得放置加热、机械运动设备</w:t>
            </w:r>
          </w:p>
        </w:tc>
        <w:tc>
          <w:tcPr>
            <w:tcW w:w="2287"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0" w:type="dxa"/>
            <w:tcMar>
              <w:left w:w="45" w:type="dxa"/>
              <w:right w:w="45" w:type="dxa"/>
            </w:tcMar>
            <w:vAlign w:val="center"/>
          </w:tcPr>
          <w:p>
            <w:pPr>
              <w:widowControl/>
              <w:spacing w:line="300" w:lineRule="exact"/>
              <w:jc w:val="center"/>
              <w:rPr>
                <w:bCs/>
                <w:szCs w:val="21"/>
              </w:rPr>
            </w:pPr>
          </w:p>
        </w:tc>
        <w:tc>
          <w:tcPr>
            <w:tcW w:w="417" w:type="dxa"/>
            <w:vAlign w:val="center"/>
          </w:tcPr>
          <w:p>
            <w:pPr>
              <w:widowControl/>
              <w:spacing w:line="300" w:lineRule="exact"/>
              <w:jc w:val="center"/>
              <w:rPr>
                <w:bCs/>
                <w:szCs w:val="21"/>
              </w:rPr>
            </w:pPr>
          </w:p>
        </w:tc>
        <w:tc>
          <w:tcPr>
            <w:tcW w:w="513" w:type="dxa"/>
            <w:vAlign w:val="center"/>
          </w:tcPr>
          <w:p>
            <w:pPr>
              <w:widowControl/>
              <w:spacing w:line="300" w:lineRule="exact"/>
              <w:jc w:val="center"/>
              <w:rPr>
                <w:bCs/>
                <w:szCs w:val="21"/>
              </w:rPr>
            </w:pPr>
          </w:p>
        </w:tc>
        <w:tc>
          <w:tcPr>
            <w:tcW w:w="1980" w:type="dxa"/>
            <w:vAlign w:val="center"/>
          </w:tcPr>
          <w:p>
            <w:pPr>
              <w:widowControl/>
              <w:spacing w:line="300" w:lineRule="exact"/>
              <w:jc w:val="left"/>
              <w:rPr>
                <w:bCs/>
                <w:szCs w:val="21"/>
              </w:rPr>
            </w:pPr>
          </w:p>
        </w:tc>
        <w:tc>
          <w:tcPr>
            <w:tcW w:w="1200" w:type="dxa"/>
            <w:gridSpan w:val="2"/>
            <w:vAlign w:val="center"/>
          </w:tcPr>
          <w:p>
            <w:pPr>
              <w:widowControl/>
              <w:spacing w:line="300" w:lineRule="exact"/>
              <w:jc w:val="left"/>
              <w:rPr>
                <w:bCs/>
                <w:szCs w:val="21"/>
              </w:rPr>
            </w:pPr>
          </w:p>
        </w:tc>
        <w:tc>
          <w:tcPr>
            <w:tcW w:w="1110" w:type="dxa"/>
            <w:gridSpan w:val="2"/>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rFonts w:eastAsia="等线"/>
                <w:szCs w:val="21"/>
              </w:rPr>
              <w:t>5.1.6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实验室门上有观察窗，外开门不阻挡逃生路径</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rFonts w:eastAsia="等线"/>
                <w:szCs w:val="21"/>
              </w:rPr>
              <w:t>5.1.7</w:t>
            </w:r>
          </w:p>
        </w:tc>
        <w:tc>
          <w:tcPr>
            <w:tcW w:w="4620" w:type="dxa"/>
            <w:gridSpan w:val="2"/>
            <w:shd w:val="clear" w:color="auto" w:fill="auto"/>
            <w:tcMar>
              <w:left w:w="45" w:type="dxa"/>
              <w:right w:w="45" w:type="dxa"/>
            </w:tcMar>
            <w:vAlign w:val="center"/>
          </w:tcPr>
          <w:p>
            <w:pPr>
              <w:widowControl/>
              <w:spacing w:line="300" w:lineRule="exact"/>
              <w:rPr>
                <w:kern w:val="0"/>
                <w:szCs w:val="21"/>
              </w:rPr>
            </w:pPr>
            <w:r>
              <w:rPr>
                <w:rFonts w:hint="eastAsia"/>
                <w:szCs w:val="21"/>
              </w:rPr>
              <w:t>所有房间均须有应急备用钥匙，集中存放、专人管理，应急时方便取用</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rFonts w:eastAsia="等线"/>
                <w:szCs w:val="21"/>
              </w:rPr>
              <w:t>5.1.8</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szCs w:val="21"/>
              </w:rPr>
              <w:t>实验室人均面积符合规定要求，其中理工农医类不小于2.5平方米/人，社科类不小于1.5平方米/人</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观察实验台</w:t>
            </w:r>
            <w:r>
              <w:rPr>
                <w:bCs/>
                <w:szCs w:val="21"/>
              </w:rPr>
              <w:t>与总面积</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rFonts w:eastAsia="等线"/>
                <w:szCs w:val="21"/>
              </w:rPr>
            </w:pPr>
            <w:r>
              <w:rPr>
                <w:rFonts w:eastAsia="等线"/>
                <w:szCs w:val="21"/>
              </w:rPr>
              <w:t>5.1.9</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2米</w:t>
            </w:r>
          </w:p>
        </w:tc>
        <w:tc>
          <w:tcPr>
            <w:tcW w:w="2287"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查看现场</w:t>
            </w:r>
          </w:p>
        </w:tc>
        <w:tc>
          <w:tcPr>
            <w:tcW w:w="420" w:type="dxa"/>
            <w:tcMar>
              <w:left w:w="45" w:type="dxa"/>
              <w:right w:w="45" w:type="dxa"/>
            </w:tcMar>
            <w:vAlign w:val="center"/>
          </w:tcPr>
          <w:p>
            <w:pPr>
              <w:widowControl/>
              <w:spacing w:line="300" w:lineRule="exact"/>
              <w:jc w:val="center"/>
              <w:rPr>
                <w:bCs/>
                <w:szCs w:val="21"/>
              </w:rPr>
            </w:pPr>
          </w:p>
        </w:tc>
        <w:tc>
          <w:tcPr>
            <w:tcW w:w="417" w:type="dxa"/>
            <w:vAlign w:val="center"/>
          </w:tcPr>
          <w:p>
            <w:pPr>
              <w:widowControl/>
              <w:spacing w:line="300" w:lineRule="exact"/>
              <w:jc w:val="center"/>
              <w:rPr>
                <w:bCs/>
                <w:szCs w:val="21"/>
              </w:rPr>
            </w:pPr>
          </w:p>
        </w:tc>
        <w:tc>
          <w:tcPr>
            <w:tcW w:w="513" w:type="dxa"/>
            <w:vAlign w:val="center"/>
          </w:tcPr>
          <w:p>
            <w:pPr>
              <w:widowControl/>
              <w:spacing w:line="300" w:lineRule="exact"/>
              <w:jc w:val="center"/>
              <w:rPr>
                <w:bCs/>
                <w:szCs w:val="21"/>
              </w:rPr>
            </w:pPr>
          </w:p>
        </w:tc>
        <w:tc>
          <w:tcPr>
            <w:tcW w:w="1980" w:type="dxa"/>
            <w:vAlign w:val="center"/>
          </w:tcPr>
          <w:p>
            <w:pPr>
              <w:widowControl/>
              <w:spacing w:line="300" w:lineRule="exact"/>
              <w:jc w:val="left"/>
              <w:rPr>
                <w:bCs/>
                <w:szCs w:val="21"/>
              </w:rPr>
            </w:pPr>
          </w:p>
        </w:tc>
        <w:tc>
          <w:tcPr>
            <w:tcW w:w="1200" w:type="dxa"/>
            <w:gridSpan w:val="2"/>
            <w:vAlign w:val="center"/>
          </w:tcPr>
          <w:p>
            <w:pPr>
              <w:widowControl/>
              <w:spacing w:line="300" w:lineRule="exact"/>
              <w:jc w:val="left"/>
              <w:rPr>
                <w:bCs/>
                <w:szCs w:val="21"/>
              </w:rPr>
            </w:pPr>
          </w:p>
        </w:tc>
        <w:tc>
          <w:tcPr>
            <w:tcW w:w="1110" w:type="dxa"/>
            <w:gridSpan w:val="2"/>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rFonts w:eastAsia="等线"/>
                <w:szCs w:val="21"/>
              </w:rPr>
              <w:t>5.1.10</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szCs w:val="21"/>
              </w:rPr>
              <w:t>实验操作台应选用合格的防火、防腐材料</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实验台材料合格</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rFonts w:eastAsia="等线"/>
                <w:szCs w:val="21"/>
              </w:rPr>
              <w:t>5.1.11</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szCs w:val="21"/>
              </w:rPr>
              <w:t>仪器设备安装符合建筑物承重载荷，必要时进行改造和加固</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rFonts w:eastAsia="等线"/>
                <w:szCs w:val="21"/>
              </w:rPr>
              <w:t>5.1.12</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szCs w:val="21"/>
              </w:rPr>
              <w:t>容易产生振动的设备，需考虑振动源的屏蔽</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有必要的振动屏蔽措施</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rFonts w:eastAsia="等线"/>
                <w:szCs w:val="21"/>
              </w:rPr>
              <w:t>5.1.13</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szCs w:val="21"/>
              </w:rPr>
              <w:t>易对外产生磁场或易受磁场干扰的设备，需做好磁屏蔽</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有必要的磁屏蔽措施</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rFonts w:eastAsia="等线"/>
                <w:szCs w:val="21"/>
              </w:rPr>
              <w:t>5.1.14</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szCs w:val="21"/>
              </w:rPr>
              <w:t>照明良好，桌面光照度一般不小于150</w:t>
            </w:r>
            <w:r>
              <w:rPr>
                <w:szCs w:val="21"/>
              </w:rPr>
              <w:t xml:space="preserve"> </w:t>
            </w:r>
            <w:r>
              <w:rPr>
                <w:rFonts w:hint="eastAsia"/>
                <w:szCs w:val="21"/>
              </w:rPr>
              <w:t>LX</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照明良好</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rFonts w:hint="eastAsia" w:eastAsia="等线"/>
                <w:szCs w:val="21"/>
              </w:rPr>
              <w:t>5.1.15</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szCs w:val="21"/>
              </w:rPr>
              <w:t>噪声一般低于55分贝（机械设备可低于70分贝）</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噪声达标</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5.1.16</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szCs w:val="21"/>
              </w:rPr>
              <w:t>有可燃气体的实验室不能设吊顶</w:t>
            </w:r>
          </w:p>
        </w:tc>
        <w:tc>
          <w:tcPr>
            <w:tcW w:w="2287"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现场或实验室图片</w:t>
            </w:r>
          </w:p>
        </w:tc>
        <w:tc>
          <w:tcPr>
            <w:tcW w:w="420" w:type="dxa"/>
            <w:tcMar>
              <w:left w:w="45" w:type="dxa"/>
              <w:right w:w="45" w:type="dxa"/>
            </w:tcMar>
            <w:vAlign w:val="center"/>
          </w:tcPr>
          <w:p>
            <w:pPr>
              <w:widowControl/>
              <w:spacing w:line="300" w:lineRule="exact"/>
              <w:jc w:val="center"/>
              <w:rPr>
                <w:bCs/>
                <w:szCs w:val="21"/>
              </w:rPr>
            </w:pPr>
          </w:p>
        </w:tc>
        <w:tc>
          <w:tcPr>
            <w:tcW w:w="417" w:type="dxa"/>
            <w:vAlign w:val="center"/>
          </w:tcPr>
          <w:p>
            <w:pPr>
              <w:widowControl/>
              <w:spacing w:line="300" w:lineRule="exact"/>
              <w:jc w:val="center"/>
              <w:rPr>
                <w:bCs/>
                <w:szCs w:val="21"/>
              </w:rPr>
            </w:pPr>
          </w:p>
        </w:tc>
        <w:tc>
          <w:tcPr>
            <w:tcW w:w="513" w:type="dxa"/>
            <w:vAlign w:val="center"/>
          </w:tcPr>
          <w:p>
            <w:pPr>
              <w:widowControl/>
              <w:spacing w:line="300" w:lineRule="exact"/>
              <w:jc w:val="center"/>
              <w:rPr>
                <w:bCs/>
                <w:szCs w:val="21"/>
              </w:rPr>
            </w:pPr>
          </w:p>
        </w:tc>
        <w:tc>
          <w:tcPr>
            <w:tcW w:w="1980" w:type="dxa"/>
            <w:vAlign w:val="center"/>
          </w:tcPr>
          <w:p>
            <w:pPr>
              <w:widowControl/>
              <w:spacing w:line="300" w:lineRule="exact"/>
              <w:jc w:val="left"/>
              <w:rPr>
                <w:bCs/>
                <w:szCs w:val="21"/>
              </w:rPr>
            </w:pPr>
          </w:p>
        </w:tc>
        <w:tc>
          <w:tcPr>
            <w:tcW w:w="1200" w:type="dxa"/>
            <w:gridSpan w:val="2"/>
            <w:vAlign w:val="center"/>
          </w:tcPr>
          <w:p>
            <w:pPr>
              <w:widowControl/>
              <w:spacing w:line="300" w:lineRule="exact"/>
              <w:jc w:val="left"/>
              <w:rPr>
                <w:bCs/>
                <w:szCs w:val="21"/>
              </w:rPr>
            </w:pPr>
          </w:p>
        </w:tc>
        <w:tc>
          <w:tcPr>
            <w:tcW w:w="1110" w:type="dxa"/>
            <w:gridSpan w:val="2"/>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5.1.17</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2287"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p>
        </w:tc>
        <w:tc>
          <w:tcPr>
            <w:tcW w:w="420" w:type="dxa"/>
            <w:tcMar>
              <w:left w:w="45" w:type="dxa"/>
              <w:right w:w="45" w:type="dxa"/>
            </w:tcMar>
            <w:vAlign w:val="center"/>
          </w:tcPr>
          <w:p>
            <w:pPr>
              <w:widowControl/>
              <w:spacing w:line="300" w:lineRule="exact"/>
              <w:jc w:val="center"/>
              <w:rPr>
                <w:bCs/>
                <w:szCs w:val="21"/>
              </w:rPr>
            </w:pPr>
          </w:p>
        </w:tc>
        <w:tc>
          <w:tcPr>
            <w:tcW w:w="417" w:type="dxa"/>
            <w:vAlign w:val="center"/>
          </w:tcPr>
          <w:p>
            <w:pPr>
              <w:widowControl/>
              <w:spacing w:line="300" w:lineRule="exact"/>
              <w:jc w:val="center"/>
              <w:rPr>
                <w:bCs/>
                <w:szCs w:val="21"/>
              </w:rPr>
            </w:pPr>
          </w:p>
        </w:tc>
        <w:tc>
          <w:tcPr>
            <w:tcW w:w="513" w:type="dxa"/>
            <w:vAlign w:val="center"/>
          </w:tcPr>
          <w:p>
            <w:pPr>
              <w:widowControl/>
              <w:spacing w:line="300" w:lineRule="exact"/>
              <w:jc w:val="center"/>
              <w:rPr>
                <w:bCs/>
                <w:szCs w:val="21"/>
              </w:rPr>
            </w:pPr>
          </w:p>
        </w:tc>
        <w:tc>
          <w:tcPr>
            <w:tcW w:w="1980" w:type="dxa"/>
            <w:vAlign w:val="center"/>
          </w:tcPr>
          <w:p>
            <w:pPr>
              <w:widowControl/>
              <w:spacing w:line="300" w:lineRule="exact"/>
              <w:jc w:val="left"/>
              <w:rPr>
                <w:bCs/>
                <w:szCs w:val="21"/>
              </w:rPr>
            </w:pPr>
          </w:p>
        </w:tc>
        <w:tc>
          <w:tcPr>
            <w:tcW w:w="1200" w:type="dxa"/>
            <w:gridSpan w:val="2"/>
            <w:vAlign w:val="center"/>
          </w:tcPr>
          <w:p>
            <w:pPr>
              <w:widowControl/>
              <w:spacing w:line="300" w:lineRule="exact"/>
              <w:jc w:val="left"/>
              <w:rPr>
                <w:bCs/>
                <w:szCs w:val="21"/>
              </w:rPr>
            </w:pPr>
          </w:p>
        </w:tc>
        <w:tc>
          <w:tcPr>
            <w:tcW w:w="1110" w:type="dxa"/>
            <w:gridSpan w:val="2"/>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b/>
                <w:kern w:val="0"/>
                <w:szCs w:val="21"/>
              </w:rPr>
              <w:t>5.</w:t>
            </w:r>
            <w:r>
              <w:rPr>
                <w:rFonts w:hint="eastAsia"/>
                <w:b/>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管线基础安全</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rFonts w:eastAsia="等线"/>
                <w:kern w:val="0"/>
                <w:szCs w:val="21"/>
              </w:rPr>
            </w:pPr>
            <w:r>
              <w:rPr>
                <w:rFonts w:eastAsia="等线"/>
                <w:szCs w:val="21"/>
              </w:rPr>
              <w:t>5.2.1</w:t>
            </w:r>
          </w:p>
        </w:tc>
        <w:tc>
          <w:tcPr>
            <w:tcW w:w="4620" w:type="dxa"/>
            <w:gridSpan w:val="2"/>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实验室水、电、气管线布局合理，选用合格产品，安装施工规范</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管线布局合理</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rFonts w:eastAsia="等线"/>
                <w:szCs w:val="21"/>
              </w:rPr>
            </w:pPr>
            <w:r>
              <w:rPr>
                <w:rFonts w:eastAsia="等线"/>
                <w:szCs w:val="21"/>
              </w:rPr>
              <w:t>5.2.2</w:t>
            </w:r>
          </w:p>
        </w:tc>
        <w:tc>
          <w:tcPr>
            <w:tcW w:w="4620" w:type="dxa"/>
            <w:gridSpan w:val="2"/>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供气管道有标识，无破损</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rFonts w:eastAsia="等线"/>
                <w:szCs w:val="21"/>
              </w:rPr>
            </w:pPr>
            <w:r>
              <w:rPr>
                <w:rFonts w:eastAsia="等线"/>
                <w:szCs w:val="21"/>
              </w:rPr>
              <w:t>5.2.3</w:t>
            </w:r>
          </w:p>
        </w:tc>
        <w:tc>
          <w:tcPr>
            <w:tcW w:w="4620" w:type="dxa"/>
            <w:gridSpan w:val="2"/>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高温、明火设备放置位置与可燃气体管道有安全间隔距离</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可燃气管道远离高温、明火</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b/>
                <w:kern w:val="0"/>
                <w:szCs w:val="21"/>
              </w:rPr>
            </w:pPr>
            <w:r>
              <w:rPr>
                <w:b/>
                <w:kern w:val="0"/>
                <w:szCs w:val="21"/>
              </w:rPr>
              <w:t>5.</w:t>
            </w:r>
            <w:r>
              <w:rPr>
                <w:rFonts w:hint="eastAsia"/>
                <w:b/>
                <w:kern w:val="0"/>
                <w:szCs w:val="21"/>
              </w:rPr>
              <w:t>3</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5.3.1</w:t>
            </w:r>
          </w:p>
        </w:tc>
        <w:tc>
          <w:tcPr>
            <w:tcW w:w="4620" w:type="dxa"/>
            <w:gridSpan w:val="2"/>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rFonts w:eastAsia="等线"/>
                <w:szCs w:val="21"/>
              </w:rPr>
            </w:pPr>
            <w:r>
              <w:rPr>
                <w:rFonts w:eastAsia="等线"/>
                <w:szCs w:val="21"/>
              </w:rPr>
              <w:t>5.3.2</w:t>
            </w:r>
          </w:p>
        </w:tc>
        <w:tc>
          <w:tcPr>
            <w:tcW w:w="4620" w:type="dxa"/>
            <w:gridSpan w:val="2"/>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实验室物品摆放有序，卫生状况良好；实验完毕物品归位</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整洁卫生有序</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rFonts w:eastAsia="等线"/>
                <w:szCs w:val="21"/>
              </w:rPr>
            </w:pPr>
            <w:r>
              <w:rPr>
                <w:rFonts w:eastAsia="等线"/>
                <w:szCs w:val="21"/>
              </w:rPr>
              <w:t>5.3.3</w:t>
            </w:r>
          </w:p>
        </w:tc>
        <w:tc>
          <w:tcPr>
            <w:tcW w:w="4620" w:type="dxa"/>
            <w:gridSpan w:val="2"/>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不存在门开着而无人的现象</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人员要在岗</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rFonts w:eastAsia="等线"/>
                <w:szCs w:val="21"/>
              </w:rPr>
            </w:pPr>
            <w:r>
              <w:rPr>
                <w:rFonts w:eastAsia="等线"/>
                <w:szCs w:val="21"/>
              </w:rPr>
              <w:t>5.3.4</w:t>
            </w:r>
          </w:p>
        </w:tc>
        <w:tc>
          <w:tcPr>
            <w:tcW w:w="4620" w:type="dxa"/>
            <w:gridSpan w:val="2"/>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无废弃物品（如纸板箱、废电脑、破仪器、破家具等）</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rFonts w:eastAsia="等线"/>
                <w:szCs w:val="21"/>
              </w:rPr>
            </w:pPr>
            <w:r>
              <w:rPr>
                <w:rFonts w:hint="eastAsia" w:eastAsia="等线"/>
                <w:szCs w:val="21"/>
              </w:rPr>
              <w:t>5.3.5</w:t>
            </w:r>
          </w:p>
        </w:tc>
        <w:tc>
          <w:tcPr>
            <w:tcW w:w="4620" w:type="dxa"/>
            <w:gridSpan w:val="2"/>
            <w:shd w:val="clear" w:color="auto" w:fill="auto"/>
            <w:tcMar>
              <w:left w:w="45" w:type="dxa"/>
              <w:right w:w="45" w:type="dxa"/>
            </w:tcMar>
            <w:vAlign w:val="center"/>
          </w:tcPr>
          <w:p>
            <w:pPr>
              <w:spacing w:line="300" w:lineRule="exact"/>
              <w:rPr>
                <w:szCs w:val="21"/>
              </w:rPr>
            </w:pPr>
            <w:r>
              <w:rPr>
                <w:rFonts w:hint="eastAsia"/>
                <w:szCs w:val="21"/>
              </w:rPr>
              <w:t>实验室</w:t>
            </w:r>
            <w:r>
              <w:rPr>
                <w:szCs w:val="21"/>
              </w:rPr>
              <w:t>有卫生安全值日表，有执行记录</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记录表</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5.4</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场所其它安全</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5.4.1</w:t>
            </w:r>
          </w:p>
        </w:tc>
        <w:tc>
          <w:tcPr>
            <w:tcW w:w="4620" w:type="dxa"/>
            <w:gridSpan w:val="2"/>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5.4.2</w:t>
            </w:r>
          </w:p>
        </w:tc>
        <w:tc>
          <w:tcPr>
            <w:tcW w:w="4620" w:type="dxa"/>
            <w:gridSpan w:val="2"/>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危险性实验室配备了急救药箱，药箱不上锁、药品在保质期内</w:t>
            </w:r>
          </w:p>
        </w:tc>
        <w:tc>
          <w:tcPr>
            <w:tcW w:w="2287" w:type="dxa"/>
            <w:shd w:val="clear" w:color="auto" w:fill="auto"/>
            <w:tcMar>
              <w:left w:w="45" w:type="dxa"/>
              <w:right w:w="45" w:type="dxa"/>
            </w:tcMar>
            <w:vAlign w:val="center"/>
          </w:tcPr>
          <w:p>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5.4.3</w:t>
            </w:r>
          </w:p>
        </w:tc>
        <w:tc>
          <w:tcPr>
            <w:tcW w:w="4620" w:type="dxa"/>
            <w:gridSpan w:val="2"/>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实验室内不放无关物品，如电动车、自行车等</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5.4.4</w:t>
            </w:r>
          </w:p>
        </w:tc>
        <w:tc>
          <w:tcPr>
            <w:tcW w:w="4620" w:type="dxa"/>
            <w:gridSpan w:val="2"/>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实验室内不存放或烧煮食物、饮食，无吸烟现象</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5.4.5</w:t>
            </w:r>
          </w:p>
        </w:tc>
        <w:tc>
          <w:tcPr>
            <w:tcW w:w="4620" w:type="dxa"/>
            <w:gridSpan w:val="2"/>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不得在实验室内睡觉过夜</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有无</w:t>
            </w:r>
            <w:r>
              <w:rPr>
                <w:bCs/>
                <w:szCs w:val="21"/>
              </w:rPr>
              <w:t>席子、被褥等</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5.4.6</w:t>
            </w:r>
          </w:p>
        </w:tc>
        <w:tc>
          <w:tcPr>
            <w:tcW w:w="4620" w:type="dxa"/>
            <w:gridSpan w:val="2"/>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2287"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5</w:t>
            </w:r>
            <w:r>
              <w:rPr>
                <w:rFonts w:eastAsia="等线"/>
                <w:color w:val="000000" w:themeColor="text1"/>
                <w:szCs w:val="21"/>
                <w14:textFill>
                  <w14:solidFill>
                    <w14:schemeClr w14:val="tx1"/>
                  </w14:solidFill>
                </w14:textFill>
              </w:rPr>
              <w:t>.4.7</w:t>
            </w:r>
          </w:p>
        </w:tc>
        <w:tc>
          <w:tcPr>
            <w:tcW w:w="4620" w:type="dxa"/>
            <w:gridSpan w:val="2"/>
            <w:shd w:val="clear" w:color="auto" w:fill="auto"/>
            <w:tcMar>
              <w:left w:w="45" w:type="dxa"/>
              <w:right w:w="45" w:type="dxa"/>
            </w:tcMar>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废弃</w:t>
            </w:r>
            <w:r>
              <w:rPr>
                <w:color w:val="000000" w:themeColor="text1"/>
                <w:szCs w:val="21"/>
                <w14:textFill>
                  <w14:solidFill>
                    <w14:schemeClr w14:val="tx1"/>
                  </w14:solidFill>
                </w14:textFill>
              </w:rPr>
              <w:t>不用的实验室，需</w:t>
            </w:r>
            <w:r>
              <w:rPr>
                <w:rFonts w:hint="eastAsia"/>
                <w:color w:val="000000" w:themeColor="text1"/>
                <w:szCs w:val="21"/>
                <w14:textFill>
                  <w14:solidFill>
                    <w14:schemeClr w14:val="tx1"/>
                  </w14:solidFill>
                </w14:textFill>
              </w:rPr>
              <w:t>明确</w:t>
            </w:r>
            <w:r>
              <w:rPr>
                <w:color w:val="000000" w:themeColor="text1"/>
                <w:szCs w:val="21"/>
                <w14:textFill>
                  <w14:solidFill>
                    <w14:schemeClr w14:val="tx1"/>
                  </w14:solidFill>
                </w14:textFill>
              </w:rPr>
              <w:t>责任</w:t>
            </w:r>
            <w:r>
              <w:rPr>
                <w:rFonts w:hint="eastAsia"/>
                <w:color w:val="000000" w:themeColor="text1"/>
                <w:szCs w:val="21"/>
                <w14:textFill>
                  <w14:solidFill>
                    <w14:schemeClr w14:val="tx1"/>
                  </w14:solidFill>
                </w14:textFill>
              </w:rPr>
              <w:t>落实</w:t>
            </w:r>
            <w:r>
              <w:rPr>
                <w:color w:val="000000" w:themeColor="text1"/>
                <w:szCs w:val="21"/>
                <w14:textFill>
                  <w14:solidFill>
                    <w14:schemeClr w14:val="tx1"/>
                  </w14:solidFill>
                </w14:textFill>
              </w:rPr>
              <w:t>安全防范措施</w:t>
            </w:r>
            <w:r>
              <w:rPr>
                <w:rFonts w:hint="eastAsia"/>
                <w:color w:val="000000" w:themeColor="text1"/>
                <w:szCs w:val="21"/>
                <w14:textFill>
                  <w14:solidFill>
                    <w14:schemeClr w14:val="tx1"/>
                  </w14:solidFill>
                </w14:textFill>
              </w:rPr>
              <w:t>；具有</w:t>
            </w:r>
            <w:r>
              <w:rPr>
                <w:color w:val="000000" w:themeColor="text1"/>
                <w:szCs w:val="21"/>
                <w14:textFill>
                  <w14:solidFill>
                    <w14:schemeClr w14:val="tx1"/>
                  </w14:solidFill>
                </w14:textFill>
              </w:rPr>
              <w:t>危险隐患的实验室及设备在拆除前必须做好安全论证</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并认真实施</w:t>
            </w:r>
          </w:p>
        </w:tc>
        <w:tc>
          <w:tcPr>
            <w:tcW w:w="2287" w:type="dxa"/>
            <w:shd w:val="clear" w:color="auto" w:fill="auto"/>
            <w:tcMar>
              <w:left w:w="45" w:type="dxa"/>
              <w:right w:w="45" w:type="dxa"/>
            </w:tcMar>
            <w:vAlign w:val="center"/>
          </w:tcPr>
          <w:p>
            <w:pPr>
              <w:spacing w:line="300" w:lineRule="exact"/>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查看现场</w:t>
            </w:r>
            <w:r>
              <w:rPr>
                <w:bCs/>
                <w:color w:val="000000" w:themeColor="text1"/>
                <w:szCs w:val="21"/>
                <w14:textFill>
                  <w14:solidFill>
                    <w14:schemeClr w14:val="tx1"/>
                  </w14:solidFill>
                </w14:textFill>
              </w:rPr>
              <w:t>与资料</w:t>
            </w:r>
          </w:p>
        </w:tc>
        <w:tc>
          <w:tcPr>
            <w:tcW w:w="420" w:type="dxa"/>
            <w:tcMar>
              <w:left w:w="45" w:type="dxa"/>
              <w:right w:w="45" w:type="dxa"/>
            </w:tcMar>
            <w:vAlign w:val="center"/>
          </w:tcPr>
          <w:p>
            <w:pPr>
              <w:spacing w:line="300" w:lineRule="exact"/>
              <w:jc w:val="center"/>
              <w:rPr>
                <w:bCs/>
                <w:szCs w:val="21"/>
              </w:rPr>
            </w:pPr>
          </w:p>
        </w:tc>
        <w:tc>
          <w:tcPr>
            <w:tcW w:w="417" w:type="dxa"/>
            <w:vAlign w:val="center"/>
          </w:tcPr>
          <w:p>
            <w:pPr>
              <w:spacing w:line="300" w:lineRule="exact"/>
              <w:jc w:val="center"/>
              <w:rPr>
                <w:bCs/>
                <w:szCs w:val="21"/>
              </w:rPr>
            </w:pPr>
          </w:p>
        </w:tc>
        <w:tc>
          <w:tcPr>
            <w:tcW w:w="513" w:type="dxa"/>
            <w:vAlign w:val="center"/>
          </w:tcPr>
          <w:p>
            <w:pPr>
              <w:spacing w:line="300" w:lineRule="exact"/>
              <w:jc w:val="center"/>
              <w:rPr>
                <w:bCs/>
                <w:szCs w:val="21"/>
              </w:rPr>
            </w:pPr>
          </w:p>
        </w:tc>
        <w:tc>
          <w:tcPr>
            <w:tcW w:w="1980" w:type="dxa"/>
            <w:vAlign w:val="center"/>
          </w:tcPr>
          <w:p>
            <w:pPr>
              <w:spacing w:line="300" w:lineRule="exact"/>
              <w:jc w:val="left"/>
              <w:rPr>
                <w:bCs/>
                <w:szCs w:val="21"/>
              </w:rPr>
            </w:pPr>
          </w:p>
        </w:tc>
        <w:tc>
          <w:tcPr>
            <w:tcW w:w="1200" w:type="dxa"/>
            <w:gridSpan w:val="2"/>
            <w:vAlign w:val="center"/>
          </w:tcPr>
          <w:p>
            <w:pPr>
              <w:spacing w:line="300" w:lineRule="exact"/>
              <w:jc w:val="left"/>
              <w:rPr>
                <w:bCs/>
                <w:szCs w:val="21"/>
              </w:rPr>
            </w:pPr>
          </w:p>
        </w:tc>
        <w:tc>
          <w:tcPr>
            <w:tcW w:w="1110" w:type="dxa"/>
            <w:gridSpan w:val="2"/>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安全设施</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6.1</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消防设施</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w:t>
            </w:r>
            <w:r>
              <w:rPr>
                <w:rFonts w:eastAsia="等线"/>
                <w:color w:val="000000" w:themeColor="text1"/>
                <w:szCs w:val="21"/>
                <w14:textFill>
                  <w14:solidFill>
                    <w14:schemeClr w14:val="tx1"/>
                  </w14:solidFill>
                </w14:textFill>
              </w:rPr>
              <w:t>.1.1</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具有潜在火灾危险的实验室内应配备合适的灭火设备（烟感</w:t>
            </w:r>
            <w:r>
              <w:rPr>
                <w:rFonts w:asciiTheme="minorEastAsia" w:hAnsiTheme="minorEastAsia" w:eastAsiaTheme="minorEastAsia"/>
                <w:kern w:val="0"/>
                <w:szCs w:val="21"/>
              </w:rPr>
              <w:t>报警器、</w:t>
            </w:r>
            <w:r>
              <w:rPr>
                <w:rFonts w:hint="eastAsia" w:asciiTheme="minorEastAsia" w:hAnsiTheme="minorEastAsia" w:eastAsiaTheme="minorEastAsia"/>
                <w:kern w:val="0"/>
                <w:szCs w:val="21"/>
              </w:rPr>
              <w:t>灭火器、 灭火毯、消防沙桶、消防喷淋等），正常有效、</w:t>
            </w:r>
            <w:r>
              <w:rPr>
                <w:rFonts w:asciiTheme="minorEastAsia" w:hAnsiTheme="minorEastAsia" w:eastAsiaTheme="minorEastAsia"/>
                <w:kern w:val="0"/>
                <w:szCs w:val="21"/>
              </w:rPr>
              <w:t>方便取用</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kern w:val="0"/>
                <w:szCs w:val="21"/>
              </w:rPr>
              <w:t>灭火器种类适合；</w:t>
            </w:r>
            <w:r>
              <w:rPr>
                <w:rFonts w:asciiTheme="minorEastAsia" w:hAnsiTheme="minorEastAsia" w:eastAsiaTheme="minorEastAsia"/>
                <w:bCs/>
                <w:kern w:val="0"/>
                <w:szCs w:val="21"/>
              </w:rPr>
              <w:t>公共</w:t>
            </w:r>
            <w:r>
              <w:rPr>
                <w:rFonts w:hint="eastAsia" w:asciiTheme="minorEastAsia" w:hAnsiTheme="minorEastAsia" w:eastAsiaTheme="minorEastAsia"/>
                <w:bCs/>
                <w:kern w:val="0"/>
                <w:szCs w:val="21"/>
              </w:rPr>
              <w:t>区域</w:t>
            </w:r>
            <w:r>
              <w:rPr>
                <w:rFonts w:asciiTheme="minorEastAsia" w:hAnsiTheme="minorEastAsia" w:eastAsiaTheme="minorEastAsia"/>
                <w:bCs/>
                <w:kern w:val="0"/>
                <w:szCs w:val="21"/>
              </w:rPr>
              <w:t>灭火器数量</w:t>
            </w:r>
            <w:r>
              <w:rPr>
                <w:rFonts w:hint="eastAsia" w:asciiTheme="minorEastAsia" w:hAnsiTheme="minorEastAsia" w:eastAsiaTheme="minorEastAsia"/>
                <w:bCs/>
                <w:kern w:val="0"/>
                <w:szCs w:val="21"/>
              </w:rPr>
              <w:t>（间距）</w:t>
            </w:r>
            <w:r>
              <w:rPr>
                <w:rFonts w:asciiTheme="minorEastAsia" w:hAnsiTheme="minorEastAsia" w:eastAsiaTheme="minorEastAsia"/>
                <w:bCs/>
                <w:kern w:val="0"/>
                <w:szCs w:val="21"/>
              </w:rPr>
              <w:t>与</w:t>
            </w:r>
            <w:r>
              <w:rPr>
                <w:rFonts w:hint="eastAsia" w:asciiTheme="minorEastAsia" w:hAnsiTheme="minorEastAsia" w:eastAsiaTheme="minorEastAsia"/>
                <w:bCs/>
                <w:kern w:val="0"/>
                <w:szCs w:val="21"/>
              </w:rPr>
              <w:t>实验室</w:t>
            </w:r>
            <w:r>
              <w:rPr>
                <w:rFonts w:asciiTheme="minorEastAsia" w:hAnsiTheme="minorEastAsia" w:eastAsiaTheme="minorEastAsia"/>
                <w:bCs/>
                <w:kern w:val="0"/>
                <w:szCs w:val="21"/>
              </w:rPr>
              <w:t>安全等级</w:t>
            </w:r>
            <w:r>
              <w:rPr>
                <w:rFonts w:hint="eastAsia" w:asciiTheme="minorEastAsia" w:hAnsiTheme="minorEastAsia" w:eastAsiaTheme="minorEastAsia"/>
                <w:bCs/>
                <w:kern w:val="0"/>
                <w:szCs w:val="21"/>
              </w:rPr>
              <w:t>相</w:t>
            </w:r>
            <w:r>
              <w:rPr>
                <w:rFonts w:asciiTheme="minorEastAsia" w:hAnsiTheme="minorEastAsia" w:eastAsiaTheme="minorEastAsia"/>
                <w:bCs/>
                <w:kern w:val="0"/>
                <w:szCs w:val="21"/>
              </w:rPr>
              <w:t>适应</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w:t>
            </w:r>
            <w:r>
              <w:rPr>
                <w:rFonts w:eastAsia="等线"/>
                <w:color w:val="000000" w:themeColor="text1"/>
                <w:szCs w:val="21"/>
                <w14:textFill>
                  <w14:solidFill>
                    <w14:schemeClr w14:val="tx1"/>
                  </w14:solidFill>
                </w14:textFill>
              </w:rPr>
              <w:t>.1.</w:t>
            </w:r>
            <w:r>
              <w:rPr>
                <w:rFonts w:hint="eastAsia" w:eastAsia="等线"/>
                <w:color w:val="000000" w:themeColor="text1"/>
                <w:szCs w:val="21"/>
                <w14:textFill>
                  <w14:solidFill>
                    <w14:schemeClr w14:val="tx1"/>
                  </w14:solidFill>
                </w14:textFill>
              </w:rPr>
              <w:t>2</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灭火器在有效期内（压力指针</w:t>
            </w:r>
            <w:r>
              <w:rPr>
                <w:rFonts w:asciiTheme="minorEastAsia" w:hAnsiTheme="minorEastAsia" w:eastAsiaTheme="minorEastAsia"/>
                <w:kern w:val="0"/>
                <w:szCs w:val="21"/>
              </w:rPr>
              <w:t>位置</w:t>
            </w:r>
            <w:r>
              <w:rPr>
                <w:rFonts w:hint="eastAsia" w:asciiTheme="minorEastAsia" w:hAnsiTheme="minorEastAsia" w:eastAsiaTheme="minorEastAsia"/>
                <w:kern w:val="0"/>
                <w:szCs w:val="21"/>
              </w:rPr>
              <w:t>正常等），安全销（拉针）正常，瓶身无破损、腐蚀</w:t>
            </w:r>
          </w:p>
        </w:tc>
        <w:tc>
          <w:tcPr>
            <w:tcW w:w="2287" w:type="dxa"/>
            <w:shd w:val="clear" w:color="auto" w:fill="auto"/>
            <w:tcMar>
              <w:left w:w="45" w:type="dxa"/>
              <w:right w:w="45" w:type="dxa"/>
            </w:tcMar>
            <w:vAlign w:val="center"/>
          </w:tcPr>
          <w:p>
            <w:pPr>
              <w:spacing w:line="300" w:lineRule="exac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w:t>
            </w:r>
            <w:r>
              <w:rPr>
                <w:rFonts w:eastAsia="等线"/>
                <w:color w:val="000000" w:themeColor="text1"/>
                <w:szCs w:val="21"/>
                <w14:textFill>
                  <w14:solidFill>
                    <w14:schemeClr w14:val="tx1"/>
                  </w14:solidFill>
                </w14:textFill>
              </w:rPr>
              <w:t>.1.</w:t>
            </w:r>
            <w:r>
              <w:rPr>
                <w:rFonts w:hint="eastAsia" w:eastAsia="等线"/>
                <w:color w:val="000000" w:themeColor="text1"/>
                <w:szCs w:val="21"/>
                <w14:textFill>
                  <w14:solidFill>
                    <w14:schemeClr w14:val="tx1"/>
                  </w14:solidFill>
                </w14:textFill>
              </w:rPr>
              <w:t>3</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在显著位置张贴有紧急逃生疏散路线图，图上逃生路线有二条以上；路线与现场情况符合</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w:t>
            </w:r>
            <w:r>
              <w:rPr>
                <w:rFonts w:eastAsia="等线"/>
                <w:color w:val="000000" w:themeColor="text1"/>
                <w:szCs w:val="21"/>
                <w14:textFill>
                  <w14:solidFill>
                    <w14:schemeClr w14:val="tx1"/>
                  </w14:solidFill>
                </w14:textFill>
              </w:rPr>
              <w:t>.1.</w:t>
            </w:r>
            <w:r>
              <w:rPr>
                <w:rFonts w:hint="eastAsia" w:eastAsia="等线"/>
                <w:color w:val="000000" w:themeColor="text1"/>
                <w:szCs w:val="21"/>
                <w14:textFill>
                  <w14:solidFill>
                    <w14:schemeClr w14:val="tx1"/>
                  </w14:solidFill>
                </w14:textFill>
              </w:rPr>
              <w:t>4</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主要逃生路径（室内、楼梯、通道和出口处）有足够的紧急照明灯，功能正常</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w:t>
            </w:r>
            <w:r>
              <w:rPr>
                <w:rFonts w:eastAsia="等线"/>
                <w:color w:val="000000" w:themeColor="text1"/>
                <w:szCs w:val="21"/>
                <w14:textFill>
                  <w14:solidFill>
                    <w14:schemeClr w14:val="tx1"/>
                  </w14:solidFill>
                </w14:textFill>
              </w:rPr>
              <w:t>.1.5</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w:t>
            </w:r>
            <w:r>
              <w:rPr>
                <w:rFonts w:asciiTheme="minorEastAsia" w:hAnsiTheme="minorEastAsia" w:eastAsiaTheme="minorEastAsia"/>
                <w:kern w:val="0"/>
                <w:szCs w:val="21"/>
              </w:rPr>
              <w:t>开展</w:t>
            </w:r>
            <w:r>
              <w:rPr>
                <w:rFonts w:hint="eastAsia" w:asciiTheme="minorEastAsia" w:hAnsiTheme="minorEastAsia" w:eastAsiaTheme="minorEastAsia"/>
                <w:kern w:val="0"/>
                <w:szCs w:val="21"/>
              </w:rPr>
              <w:t>消防设备、灭火器的使用训练；熟悉紧急疏散路线及火场逃生注意事项</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查看记录、现场提问</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6.2</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应急喷淋</w:t>
            </w:r>
            <w:r>
              <w:rPr>
                <w:rFonts w:hint="eastAsia" w:asciiTheme="minorEastAsia" w:hAnsiTheme="minorEastAsia" w:eastAsiaTheme="minorEastAsia"/>
                <w:b/>
                <w:kern w:val="0"/>
                <w:szCs w:val="21"/>
              </w:rPr>
              <w:t>与</w:t>
            </w:r>
            <w:r>
              <w:rPr>
                <w:rFonts w:asciiTheme="minorEastAsia" w:hAnsiTheme="minorEastAsia" w:eastAsiaTheme="minorEastAsia"/>
                <w:b/>
                <w:kern w:val="0"/>
                <w:szCs w:val="21"/>
              </w:rPr>
              <w:t>洗眼装置</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6.2.1</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存在可能受到化学和生物伤害的实验区域，需配置应急喷淋和洗眼装置，走廊有显著引导标识</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6.2.2</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应急喷淋安装地点与工作区域之间畅通，距离不超过30米；应急喷淋安装位置合适，拉杆位置</w:t>
            </w:r>
            <w:r>
              <w:rPr>
                <w:rFonts w:asciiTheme="minorEastAsia" w:hAnsiTheme="minorEastAsia" w:eastAsiaTheme="minorEastAsia"/>
                <w:kern w:val="0"/>
                <w:szCs w:val="21"/>
              </w:rPr>
              <w:t>合适、</w:t>
            </w:r>
            <w:r>
              <w:rPr>
                <w:rFonts w:hint="eastAsia" w:asciiTheme="minorEastAsia" w:hAnsiTheme="minorEastAsia" w:eastAsiaTheme="minorEastAsia"/>
                <w:kern w:val="0"/>
                <w:szCs w:val="21"/>
              </w:rPr>
              <w:t>方向</w:t>
            </w:r>
            <w:r>
              <w:rPr>
                <w:rFonts w:asciiTheme="minorEastAsia" w:hAnsiTheme="minorEastAsia" w:eastAsiaTheme="minorEastAsia"/>
                <w:kern w:val="0"/>
                <w:szCs w:val="21"/>
              </w:rPr>
              <w:t>正确</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asciiTheme="minorEastAsia" w:hAnsiTheme="minorEastAsia" w:eastAsiaTheme="minorEastAsia"/>
                <w:bCs/>
                <w:kern w:val="0"/>
                <w:szCs w:val="21"/>
              </w:rPr>
              <w:t>拉杆往下拉出水；在走廊</w:t>
            </w:r>
            <w:r>
              <w:rPr>
                <w:rFonts w:hint="eastAsia" w:asciiTheme="minorEastAsia" w:hAnsiTheme="minorEastAsia" w:eastAsiaTheme="minorEastAsia"/>
                <w:bCs/>
                <w:kern w:val="0"/>
                <w:szCs w:val="21"/>
              </w:rPr>
              <w:t>安装</w:t>
            </w:r>
            <w:r>
              <w:rPr>
                <w:rFonts w:asciiTheme="minorEastAsia" w:hAnsiTheme="minorEastAsia" w:eastAsiaTheme="minorEastAsia"/>
                <w:bCs/>
                <w:kern w:val="0"/>
                <w:szCs w:val="21"/>
              </w:rPr>
              <w:t>可以没有下水道</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6.2.3</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应急喷淋装置水管总阀处常开状，喷</w:t>
            </w:r>
            <w:r>
              <w:rPr>
                <w:rFonts w:hint="eastAsia" w:asciiTheme="minorEastAsia" w:hAnsiTheme="minorEastAsia" w:eastAsiaTheme="minorEastAsia"/>
                <w:kern w:val="0"/>
                <w:szCs w:val="21"/>
              </w:rPr>
              <w:t>淋</w:t>
            </w:r>
            <w:r>
              <w:rPr>
                <w:rFonts w:asciiTheme="minorEastAsia" w:hAnsiTheme="minorEastAsia" w:eastAsiaTheme="minorEastAsia"/>
                <w:kern w:val="0"/>
                <w:szCs w:val="21"/>
              </w:rPr>
              <w:t>头下方无障碍物</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不能以普通淋浴装置代替应急喷淋装置</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6.2.4</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洗眼装置接入生活用水管道，水量水压适中（喷出高度</w:t>
            </w:r>
            <w:r>
              <w:rPr>
                <w:rFonts w:asciiTheme="minorEastAsia" w:hAnsiTheme="minorEastAsia" w:eastAsiaTheme="minorEastAsia"/>
                <w:kern w:val="0"/>
                <w:szCs w:val="21"/>
              </w:rPr>
              <w:t>8</w:t>
            </w:r>
            <w:r>
              <w:rPr>
                <w:rFonts w:hint="eastAsia" w:asciiTheme="minorEastAsia" w:hAnsiTheme="minorEastAsia" w:eastAsiaTheme="minorEastAsia"/>
                <w:kern w:val="0"/>
                <w:szCs w:val="21"/>
              </w:rPr>
              <w:t>-10cm），</w:t>
            </w:r>
            <w:r>
              <w:rPr>
                <w:rFonts w:hint="eastAsia" w:asciiTheme="minorEastAsia" w:hAnsiTheme="minorEastAsia" w:eastAsiaTheme="minorEastAsia"/>
                <w:bCs/>
                <w:kern w:val="0"/>
                <w:szCs w:val="21"/>
              </w:rPr>
              <w:t>水流畅通平稳</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不得接消防用水</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6.2.5</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定期维护应急喷淋与</w:t>
            </w:r>
            <w:r>
              <w:rPr>
                <w:rFonts w:asciiTheme="minorEastAsia" w:hAnsiTheme="minorEastAsia" w:eastAsiaTheme="minorEastAsia"/>
                <w:kern w:val="0"/>
                <w:szCs w:val="21"/>
              </w:rPr>
              <w:t>洗眼</w:t>
            </w:r>
            <w:r>
              <w:rPr>
                <w:rFonts w:hint="eastAsia" w:asciiTheme="minorEastAsia" w:hAnsiTheme="minorEastAsia" w:eastAsiaTheme="minorEastAsia"/>
                <w:kern w:val="0"/>
                <w:szCs w:val="21"/>
              </w:rPr>
              <w:t>装置，并有检查记录（每月启动一次阀门，时刻保证管内流水畅通）；每周擦拭洗眼喷头</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查看维护记录、无锈水脏水</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6.3</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通风系统</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6.3.1.</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有需要的实验场所</w:t>
            </w:r>
            <w:r>
              <w:rPr>
                <w:rFonts w:asciiTheme="minorEastAsia" w:hAnsiTheme="minorEastAsia" w:eastAsiaTheme="minorEastAsia"/>
                <w:kern w:val="0"/>
                <w:szCs w:val="21"/>
              </w:rPr>
              <w:t>配备符合要求的通风系统，管道风机需防腐，使用可燃气体场所应采用防爆风机</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6.3.2</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实验室</w:t>
            </w:r>
            <w:r>
              <w:rPr>
                <w:rFonts w:asciiTheme="minorEastAsia" w:hAnsiTheme="minorEastAsia" w:eastAsiaTheme="minorEastAsia"/>
                <w:kern w:val="0"/>
                <w:szCs w:val="21"/>
              </w:rPr>
              <w:t>通风系统运行</w:t>
            </w:r>
            <w:r>
              <w:rPr>
                <w:rFonts w:hint="eastAsia" w:asciiTheme="minorEastAsia" w:hAnsiTheme="minorEastAsia" w:eastAsiaTheme="minorEastAsia"/>
                <w:kern w:val="0"/>
                <w:szCs w:val="21"/>
              </w:rPr>
              <w:t>正常，</w:t>
            </w:r>
            <w:r>
              <w:rPr>
                <w:rFonts w:hint="eastAsia"/>
                <w:szCs w:val="21"/>
              </w:rPr>
              <w:t>柜口面</w:t>
            </w:r>
            <w:r>
              <w:rPr>
                <w:rFonts w:hint="eastAsia" w:asciiTheme="minorEastAsia" w:hAnsiTheme="minorEastAsia" w:eastAsiaTheme="minorEastAsia"/>
                <w:kern w:val="0"/>
                <w:szCs w:val="21"/>
              </w:rPr>
              <w:t>风速0.</w:t>
            </w:r>
            <w:r>
              <w:rPr>
                <w:rFonts w:asciiTheme="minorEastAsia" w:hAnsiTheme="minorEastAsia" w:eastAsiaTheme="minorEastAsia"/>
                <w:kern w:val="0"/>
                <w:szCs w:val="21"/>
              </w:rPr>
              <w:t>3</w:t>
            </w:r>
            <w:r>
              <w:rPr>
                <w:rFonts w:hint="eastAsia" w:asciiTheme="minorEastAsia" w:hAnsiTheme="minorEastAsia" w:eastAsiaTheme="minorEastAsia"/>
                <w:kern w:val="0"/>
                <w:szCs w:val="21"/>
              </w:rPr>
              <w:t>5-0.</w:t>
            </w:r>
            <w:r>
              <w:rPr>
                <w:rFonts w:asciiTheme="minorEastAsia" w:hAnsiTheme="minorEastAsia" w:eastAsiaTheme="minorEastAsia"/>
                <w:kern w:val="0"/>
                <w:szCs w:val="21"/>
              </w:rPr>
              <w:t>7</w:t>
            </w:r>
            <w:r>
              <w:rPr>
                <w:rFonts w:hint="eastAsia" w:asciiTheme="minorEastAsia" w:hAnsiTheme="minorEastAsia" w:eastAsiaTheme="minorEastAsia"/>
                <w:kern w:val="0"/>
                <w:szCs w:val="21"/>
              </w:rPr>
              <w:t>5 m/s，定期进行维护、检修有</w:t>
            </w:r>
            <w:r>
              <w:rPr>
                <w:rFonts w:asciiTheme="minorEastAsia" w:hAnsiTheme="minorEastAsia" w:eastAsiaTheme="minorEastAsia"/>
                <w:kern w:val="0"/>
                <w:szCs w:val="21"/>
              </w:rPr>
              <w:t>记录</w:t>
            </w:r>
            <w:r>
              <w:rPr>
                <w:rFonts w:hint="eastAsia" w:asciiTheme="minorEastAsia" w:hAnsiTheme="minorEastAsia" w:eastAsiaTheme="minorEastAsia"/>
                <w:kern w:val="0"/>
                <w:szCs w:val="21"/>
              </w:rPr>
              <w:t>；</w:t>
            </w:r>
            <w:r>
              <w:rPr>
                <w:rFonts w:asciiTheme="minorEastAsia" w:hAnsiTheme="minorEastAsia" w:eastAsiaTheme="minorEastAsia"/>
                <w:kern w:val="0"/>
                <w:szCs w:val="21"/>
              </w:rPr>
              <w:t>屋顶风机固定无松动、无异常噪声</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w:t>
            </w:r>
            <w:r>
              <w:rPr>
                <w:rFonts w:asciiTheme="minorEastAsia" w:hAnsiTheme="minorEastAsia" w:eastAsiaTheme="minorEastAsia"/>
                <w:kern w:val="0"/>
                <w:szCs w:val="21"/>
              </w:rPr>
              <w:t>风速测定</w:t>
            </w:r>
            <w:r>
              <w:rPr>
                <w:rFonts w:hint="eastAsia" w:asciiTheme="minorEastAsia" w:hAnsiTheme="minorEastAsia" w:eastAsiaTheme="minorEastAsia"/>
                <w:bCs/>
                <w:kern w:val="0"/>
                <w:szCs w:val="21"/>
              </w:rPr>
              <w:t>、查阅记录</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6.3.3</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根据需要在通风橱管路上安装有毒有害气体的吸附或处理装置（如</w:t>
            </w:r>
            <w:r>
              <w:rPr>
                <w:rFonts w:asciiTheme="minorEastAsia" w:hAnsiTheme="minorEastAsia" w:eastAsiaTheme="minorEastAsia"/>
                <w:kern w:val="0"/>
                <w:szCs w:val="21"/>
              </w:rPr>
              <w:t>活性炭、光催化分</w:t>
            </w:r>
            <w:r>
              <w:rPr>
                <w:rFonts w:hint="eastAsia" w:asciiTheme="minorEastAsia" w:hAnsiTheme="minorEastAsia" w:eastAsiaTheme="minorEastAsia"/>
                <w:kern w:val="0"/>
                <w:szCs w:val="21"/>
              </w:rPr>
              <w:t>解</w:t>
            </w:r>
            <w:r>
              <w:rPr>
                <w:rFonts w:asciiTheme="minorEastAsia" w:hAnsiTheme="minorEastAsia" w:eastAsiaTheme="minorEastAsia"/>
                <w:kern w:val="0"/>
                <w:szCs w:val="21"/>
              </w:rPr>
              <w:t>、水喷淋等</w:t>
            </w:r>
            <w:r>
              <w:rPr>
                <w:rFonts w:hint="eastAsia" w:asciiTheme="minorEastAsia" w:hAnsiTheme="minorEastAsia" w:eastAsiaTheme="minorEastAsia"/>
                <w:kern w:val="0"/>
                <w:szCs w:val="21"/>
              </w:rPr>
              <w:t>）</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w:t>
            </w:r>
            <w:r>
              <w:rPr>
                <w:rFonts w:asciiTheme="minorEastAsia" w:hAnsiTheme="minorEastAsia" w:eastAsiaTheme="minorEastAsia"/>
                <w:bCs/>
                <w:kern w:val="0"/>
                <w:szCs w:val="21"/>
              </w:rPr>
              <w:t>现场</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6.3.4</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任何可能产生高浓度有害气体而导致个人曝露、或产生可燃、可爆炸气体或蒸汽而导致积聚的实验，都应在通风橱内进行</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6.3.5</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进行实验时，可调玻璃视窗开至据台面10</w:t>
            </w:r>
            <w:r>
              <w:rPr>
                <w:rFonts w:asciiTheme="minorEastAsia" w:hAnsiTheme="minorEastAsia" w:eastAsiaTheme="minorEastAsia"/>
                <w:kern w:val="0"/>
                <w:szCs w:val="21"/>
              </w:rPr>
              <w:t>-</w:t>
            </w:r>
            <w:r>
              <w:rPr>
                <w:rFonts w:hint="eastAsia" w:asciiTheme="minorEastAsia" w:hAnsiTheme="minorEastAsia" w:eastAsiaTheme="minorEastAsia"/>
                <w:kern w:val="0"/>
                <w:szCs w:val="21"/>
              </w:rPr>
              <w:t>15cm，保持</w:t>
            </w:r>
            <w:r>
              <w:rPr>
                <w:rFonts w:asciiTheme="minorEastAsia" w:hAnsiTheme="minorEastAsia" w:eastAsiaTheme="minorEastAsia"/>
                <w:kern w:val="0"/>
                <w:szCs w:val="21"/>
              </w:rPr>
              <w:t>通风效果，并保护</w:t>
            </w:r>
            <w:r>
              <w:rPr>
                <w:rFonts w:hint="eastAsia" w:asciiTheme="minorEastAsia" w:hAnsiTheme="minorEastAsia" w:eastAsiaTheme="minorEastAsia"/>
                <w:kern w:val="0"/>
                <w:szCs w:val="21"/>
              </w:rPr>
              <w:t>操作人员胸部以上部位</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r>
              <w:rPr>
                <w:rFonts w:asciiTheme="minorEastAsia" w:hAnsiTheme="minorEastAsia" w:eastAsiaTheme="minorEastAsia"/>
                <w:bCs/>
                <w:kern w:val="0"/>
                <w:szCs w:val="21"/>
              </w:rPr>
              <w:t>玻璃视窗材料应是钢化玻璃</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6.3.6</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实验人员在通风橱进行实验时，避免将头伸入调节门内；不将一次性手套或较轻的塑料袋等留在通风橱内，以免堵塞排风口</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6.3.7</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通风橱内应避免放置过多物品、器材，以免干扰空气的正常流动；通风橱内放置</w:t>
            </w:r>
            <w:r>
              <w:rPr>
                <w:rFonts w:asciiTheme="minorEastAsia" w:hAnsiTheme="minorEastAsia" w:eastAsiaTheme="minorEastAsia"/>
                <w:kern w:val="0"/>
                <w:szCs w:val="21"/>
              </w:rPr>
              <w:t>物品</w:t>
            </w:r>
            <w:r>
              <w:rPr>
                <w:rFonts w:hint="eastAsia" w:asciiTheme="minorEastAsia" w:hAnsiTheme="minorEastAsia" w:eastAsiaTheme="minorEastAsia"/>
                <w:kern w:val="0"/>
                <w:szCs w:val="21"/>
              </w:rPr>
              <w:t>应距离调节门内侧15cm左右，以免</w:t>
            </w:r>
            <w:r>
              <w:rPr>
                <w:rFonts w:asciiTheme="minorEastAsia" w:hAnsiTheme="minorEastAsia" w:eastAsiaTheme="minorEastAsia"/>
                <w:kern w:val="0"/>
                <w:szCs w:val="21"/>
              </w:rPr>
              <w:t>掉落</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6.3.</w:t>
            </w:r>
            <w:r>
              <w:rPr>
                <w:rFonts w:eastAsia="等线"/>
                <w:color w:val="000000" w:themeColor="text1"/>
                <w:szCs w:val="21"/>
                <w14:textFill>
                  <w14:solidFill>
                    <w14:schemeClr w14:val="tx1"/>
                  </w14:solidFill>
                </w14:textFill>
              </w:rPr>
              <w:t>8</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涉及</w:t>
            </w:r>
            <w:r>
              <w:rPr>
                <w:rFonts w:asciiTheme="minorEastAsia" w:hAnsiTheme="minorEastAsia" w:eastAsiaTheme="minorEastAsia"/>
                <w:kern w:val="0"/>
                <w:szCs w:val="21"/>
              </w:rPr>
              <w:t>易燃易爆有机试剂的通风</w:t>
            </w:r>
            <w:r>
              <w:rPr>
                <w:rFonts w:hint="eastAsia" w:asciiTheme="minorEastAsia" w:hAnsiTheme="minorEastAsia" w:eastAsiaTheme="minorEastAsia"/>
                <w:kern w:val="0"/>
                <w:szCs w:val="21"/>
              </w:rPr>
              <w:t>橱</w:t>
            </w:r>
            <w:r>
              <w:rPr>
                <w:rFonts w:asciiTheme="minorEastAsia" w:hAnsiTheme="minorEastAsia" w:eastAsiaTheme="minorEastAsia"/>
                <w:kern w:val="0"/>
                <w:szCs w:val="21"/>
              </w:rPr>
              <w:t>内不得安装电源插座</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6.3.</w:t>
            </w:r>
            <w:r>
              <w:rPr>
                <w:rFonts w:eastAsia="等线"/>
                <w:color w:val="000000" w:themeColor="text1"/>
                <w:szCs w:val="21"/>
                <w14:textFill>
                  <w14:solidFill>
                    <w14:schemeClr w14:val="tx1"/>
                  </w14:solidFill>
                </w14:textFill>
              </w:rPr>
              <w:t>9</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配备通风罩等的实验场所，</w:t>
            </w:r>
            <w:r>
              <w:rPr>
                <w:rFonts w:asciiTheme="minorEastAsia" w:hAnsiTheme="minorEastAsia" w:eastAsiaTheme="minorEastAsia"/>
                <w:kern w:val="0"/>
                <w:szCs w:val="21"/>
              </w:rPr>
              <w:t>换气扇、风机使用正常</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出口是否堵塞</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6.4</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门禁监控</w:t>
            </w:r>
          </w:p>
        </w:tc>
        <w:tc>
          <w:tcPr>
            <w:tcW w:w="2287" w:type="dxa"/>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6.4.1</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在剧毒品、病原微生物，特种设备和放射源存放点等重点</w:t>
            </w:r>
            <w:r>
              <w:rPr>
                <w:rFonts w:asciiTheme="minorEastAsia" w:hAnsiTheme="minorEastAsia" w:eastAsiaTheme="minorEastAsia"/>
                <w:szCs w:val="21"/>
              </w:rPr>
              <w:t>场所</w:t>
            </w:r>
            <w:r>
              <w:rPr>
                <w:rFonts w:hint="eastAsia" w:asciiTheme="minorEastAsia" w:hAnsiTheme="minorEastAsia" w:eastAsiaTheme="minorEastAsia"/>
                <w:szCs w:val="21"/>
              </w:rPr>
              <w:t>安装门禁和监控设施，运转正常，有专人管理</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6.4.2</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监控不留死角，图像清晰，人员出入记录可查，视频记录存储时间大于1个月</w:t>
            </w:r>
            <w:r>
              <w:rPr>
                <w:rFonts w:asciiTheme="minorEastAsia" w:hAnsiTheme="minorEastAsia" w:eastAsiaTheme="minorEastAsia"/>
                <w:kern w:val="0"/>
                <w:szCs w:val="21"/>
              </w:rPr>
              <w:t xml:space="preserve"> </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6.4.3</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实验室采用门禁系统</w:t>
            </w:r>
            <w:r>
              <w:rPr>
                <w:rFonts w:hint="eastAsia" w:asciiTheme="minorEastAsia" w:hAnsiTheme="minorEastAsia" w:eastAsiaTheme="minorEastAsia"/>
                <w:szCs w:val="21"/>
              </w:rPr>
              <w:t>的</w:t>
            </w:r>
            <w:r>
              <w:rPr>
                <w:rFonts w:asciiTheme="minorEastAsia" w:hAnsiTheme="minorEastAsia" w:eastAsiaTheme="minorEastAsia"/>
                <w:szCs w:val="21"/>
              </w:rPr>
              <w:t>，与实验室准入制度</w:t>
            </w:r>
            <w:r>
              <w:rPr>
                <w:rFonts w:hint="eastAsia" w:asciiTheme="minorEastAsia" w:hAnsiTheme="minorEastAsia" w:eastAsiaTheme="minorEastAsia"/>
                <w:szCs w:val="21"/>
              </w:rPr>
              <w:t>相</w:t>
            </w:r>
            <w:r>
              <w:rPr>
                <w:rFonts w:asciiTheme="minorEastAsia" w:hAnsiTheme="minorEastAsia" w:eastAsiaTheme="minorEastAsia"/>
                <w:szCs w:val="21"/>
              </w:rPr>
              <w:t>匹配</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6.4.4</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停电时</w:t>
            </w:r>
            <w:r>
              <w:rPr>
                <w:rFonts w:hint="eastAsia" w:asciiTheme="minorEastAsia" w:hAnsiTheme="minorEastAsia" w:eastAsiaTheme="minorEastAsia"/>
                <w:szCs w:val="21"/>
              </w:rPr>
              <w:t>，电子</w:t>
            </w:r>
            <w:r>
              <w:rPr>
                <w:rFonts w:asciiTheme="minorEastAsia" w:hAnsiTheme="minorEastAsia" w:eastAsiaTheme="minorEastAsia"/>
                <w:szCs w:val="21"/>
              </w:rPr>
              <w:t>门禁系统</w:t>
            </w:r>
            <w:r>
              <w:rPr>
                <w:rFonts w:hint="eastAsia" w:asciiTheme="minorEastAsia" w:hAnsiTheme="minorEastAsia" w:eastAsiaTheme="minorEastAsia"/>
                <w:szCs w:val="21"/>
              </w:rPr>
              <w:t>应</w:t>
            </w:r>
            <w:r>
              <w:rPr>
                <w:rFonts w:asciiTheme="minorEastAsia" w:hAnsiTheme="minorEastAsia" w:eastAsiaTheme="minorEastAsia"/>
                <w:szCs w:val="21"/>
              </w:rPr>
              <w:t>是开启状态</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17" w:type="dxa"/>
            <w:vAlign w:val="center"/>
          </w:tcPr>
          <w:p>
            <w:pPr>
              <w:widowControl/>
              <w:spacing w:line="300" w:lineRule="exact"/>
              <w:jc w:val="center"/>
              <w:rPr>
                <w:rFonts w:asciiTheme="minorEastAsia" w:hAnsiTheme="minorEastAsia" w:eastAsiaTheme="minorEastAsia"/>
                <w:bCs/>
                <w:kern w:val="0"/>
                <w:szCs w:val="21"/>
              </w:rPr>
            </w:pPr>
          </w:p>
        </w:tc>
        <w:tc>
          <w:tcPr>
            <w:tcW w:w="513" w:type="dxa"/>
            <w:vAlign w:val="center"/>
          </w:tcPr>
          <w:p>
            <w:pPr>
              <w:widowControl/>
              <w:spacing w:line="300" w:lineRule="exact"/>
              <w:jc w:val="center"/>
              <w:rPr>
                <w:rFonts w:asciiTheme="minorEastAsia" w:hAnsiTheme="minorEastAsia" w:eastAsiaTheme="minorEastAsia"/>
                <w:bCs/>
                <w:kern w:val="0"/>
                <w:szCs w:val="21"/>
              </w:rPr>
            </w:pPr>
          </w:p>
        </w:tc>
        <w:tc>
          <w:tcPr>
            <w:tcW w:w="1980" w:type="dxa"/>
            <w:vAlign w:val="center"/>
          </w:tcPr>
          <w:p>
            <w:pPr>
              <w:widowControl/>
              <w:spacing w:line="300" w:lineRule="exact"/>
              <w:jc w:val="left"/>
              <w:rPr>
                <w:rFonts w:asciiTheme="minorEastAsia" w:hAnsiTheme="minorEastAsia" w:eastAsiaTheme="minorEastAsia"/>
                <w:bCs/>
                <w:kern w:val="0"/>
                <w:szCs w:val="21"/>
              </w:rPr>
            </w:pPr>
          </w:p>
        </w:tc>
        <w:tc>
          <w:tcPr>
            <w:tcW w:w="1200" w:type="dxa"/>
            <w:gridSpan w:val="2"/>
            <w:vAlign w:val="center"/>
          </w:tcPr>
          <w:p>
            <w:pPr>
              <w:widowControl/>
              <w:spacing w:line="300" w:lineRule="exact"/>
              <w:jc w:val="left"/>
              <w:rPr>
                <w:rFonts w:asciiTheme="minorEastAsia" w:hAnsiTheme="minorEastAsia" w:eastAsiaTheme="minorEastAsia"/>
                <w:bCs/>
                <w:kern w:val="0"/>
                <w:szCs w:val="21"/>
              </w:rPr>
            </w:pPr>
          </w:p>
        </w:tc>
        <w:tc>
          <w:tcPr>
            <w:tcW w:w="1110" w:type="dxa"/>
            <w:gridSpan w:val="2"/>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6.5</w:t>
            </w:r>
          </w:p>
        </w:tc>
        <w:tc>
          <w:tcPr>
            <w:tcW w:w="4620" w:type="dxa"/>
            <w:gridSpan w:val="2"/>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szCs w:val="21"/>
              </w:rPr>
            </w:pPr>
            <w:r>
              <w:rPr>
                <w:rFonts w:hint="eastAsia" w:asciiTheme="minorEastAsia" w:hAnsiTheme="minorEastAsia" w:eastAsiaTheme="minorEastAsia"/>
                <w:b/>
                <w:szCs w:val="21"/>
              </w:rPr>
              <w:t>实验室防爆</w:t>
            </w:r>
          </w:p>
        </w:tc>
        <w:tc>
          <w:tcPr>
            <w:tcW w:w="2287" w:type="dxa"/>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szCs w:val="21"/>
              </w:rPr>
            </w:pPr>
          </w:p>
        </w:tc>
        <w:tc>
          <w:tcPr>
            <w:tcW w:w="420" w:type="dxa"/>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szCs w:val="21"/>
              </w:rPr>
            </w:pPr>
          </w:p>
        </w:tc>
        <w:tc>
          <w:tcPr>
            <w:tcW w:w="417" w:type="dxa"/>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szCs w:val="21"/>
              </w:rPr>
            </w:pPr>
          </w:p>
        </w:tc>
        <w:tc>
          <w:tcPr>
            <w:tcW w:w="513" w:type="dxa"/>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szCs w:val="21"/>
              </w:rPr>
            </w:pPr>
          </w:p>
        </w:tc>
        <w:tc>
          <w:tcPr>
            <w:tcW w:w="1980" w:type="dxa"/>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asciiTheme="minorEastAsia" w:hAnsiTheme="minorEastAsia" w:eastAsia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6.5.1</w:t>
            </w:r>
          </w:p>
        </w:tc>
        <w:tc>
          <w:tcPr>
            <w:tcW w:w="4620" w:type="dxa"/>
            <w:gridSpan w:val="2"/>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防爆实验室需符合防爆设计要求，安装防爆开关、防爆灯等，安装必要</w:t>
            </w:r>
            <w:r>
              <w:rPr>
                <w:rFonts w:asciiTheme="minorEastAsia" w:hAnsiTheme="minorEastAsia" w:eastAsiaTheme="minorEastAsia"/>
                <w:szCs w:val="21"/>
              </w:rPr>
              <w:t>的</w:t>
            </w:r>
            <w:r>
              <w:rPr>
                <w:rFonts w:hint="eastAsia" w:asciiTheme="minorEastAsia" w:hAnsiTheme="minorEastAsia" w:eastAsiaTheme="minorEastAsia"/>
                <w:szCs w:val="21"/>
              </w:rPr>
              <w:t>气体报警系统、监控系统及断电断水应急系统等</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17" w:type="dxa"/>
            <w:vAlign w:val="center"/>
          </w:tcPr>
          <w:p>
            <w:pPr>
              <w:widowControl/>
              <w:spacing w:line="300" w:lineRule="exact"/>
              <w:jc w:val="center"/>
              <w:rPr>
                <w:rFonts w:asciiTheme="minorEastAsia" w:hAnsiTheme="minorEastAsia" w:eastAsiaTheme="minorEastAsia"/>
                <w:szCs w:val="21"/>
              </w:rPr>
            </w:pPr>
          </w:p>
        </w:tc>
        <w:tc>
          <w:tcPr>
            <w:tcW w:w="513" w:type="dxa"/>
            <w:vAlign w:val="center"/>
          </w:tcPr>
          <w:p>
            <w:pPr>
              <w:widowControl/>
              <w:spacing w:line="300" w:lineRule="exact"/>
              <w:jc w:val="center"/>
              <w:rPr>
                <w:rFonts w:asciiTheme="minorEastAsia" w:hAnsiTheme="minorEastAsia" w:eastAsiaTheme="minorEastAsia"/>
                <w:szCs w:val="21"/>
              </w:rPr>
            </w:pPr>
          </w:p>
        </w:tc>
        <w:tc>
          <w:tcPr>
            <w:tcW w:w="1980" w:type="dxa"/>
            <w:vAlign w:val="center"/>
          </w:tcPr>
          <w:p>
            <w:pPr>
              <w:widowControl/>
              <w:spacing w:line="300" w:lineRule="exact"/>
              <w:jc w:val="left"/>
              <w:rPr>
                <w:rFonts w:asciiTheme="minorEastAsia" w:hAnsiTheme="minorEastAsia" w:eastAsiaTheme="minorEastAsia"/>
                <w:szCs w:val="21"/>
              </w:rPr>
            </w:pPr>
          </w:p>
        </w:tc>
        <w:tc>
          <w:tcPr>
            <w:tcW w:w="1200" w:type="dxa"/>
            <w:gridSpan w:val="2"/>
            <w:vAlign w:val="center"/>
          </w:tcPr>
          <w:p>
            <w:pPr>
              <w:widowControl/>
              <w:spacing w:line="300" w:lineRule="exact"/>
              <w:jc w:val="left"/>
              <w:rPr>
                <w:rFonts w:asciiTheme="minorEastAsia" w:hAnsiTheme="minorEastAsia" w:eastAsiaTheme="minorEastAsia"/>
                <w:szCs w:val="21"/>
              </w:rPr>
            </w:pPr>
          </w:p>
        </w:tc>
        <w:tc>
          <w:tcPr>
            <w:tcW w:w="1110" w:type="dxa"/>
            <w:gridSpan w:val="2"/>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6.5.2</w:t>
            </w:r>
          </w:p>
        </w:tc>
        <w:tc>
          <w:tcPr>
            <w:tcW w:w="4620" w:type="dxa"/>
            <w:gridSpan w:val="2"/>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对于产生可燃气体或蒸气的装置，应在其进、出口处安装阻火器。室内应加强通风，以使爆炸物浓度控制在爆炸下限值以下</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17" w:type="dxa"/>
            <w:vAlign w:val="center"/>
          </w:tcPr>
          <w:p>
            <w:pPr>
              <w:widowControl/>
              <w:spacing w:line="300" w:lineRule="exact"/>
              <w:jc w:val="center"/>
              <w:rPr>
                <w:rFonts w:asciiTheme="minorEastAsia" w:hAnsiTheme="minorEastAsia" w:eastAsiaTheme="minorEastAsia"/>
                <w:szCs w:val="21"/>
              </w:rPr>
            </w:pPr>
          </w:p>
        </w:tc>
        <w:tc>
          <w:tcPr>
            <w:tcW w:w="513" w:type="dxa"/>
            <w:vAlign w:val="center"/>
          </w:tcPr>
          <w:p>
            <w:pPr>
              <w:widowControl/>
              <w:spacing w:line="300" w:lineRule="exact"/>
              <w:jc w:val="center"/>
              <w:rPr>
                <w:rFonts w:asciiTheme="minorEastAsia" w:hAnsiTheme="minorEastAsia" w:eastAsiaTheme="minorEastAsia"/>
                <w:szCs w:val="21"/>
              </w:rPr>
            </w:pPr>
          </w:p>
        </w:tc>
        <w:tc>
          <w:tcPr>
            <w:tcW w:w="1980" w:type="dxa"/>
            <w:vAlign w:val="center"/>
          </w:tcPr>
          <w:p>
            <w:pPr>
              <w:widowControl/>
              <w:spacing w:line="300" w:lineRule="exact"/>
              <w:jc w:val="left"/>
              <w:rPr>
                <w:rFonts w:asciiTheme="minorEastAsia" w:hAnsiTheme="minorEastAsia" w:eastAsiaTheme="minorEastAsia"/>
                <w:szCs w:val="21"/>
              </w:rPr>
            </w:pPr>
          </w:p>
        </w:tc>
        <w:tc>
          <w:tcPr>
            <w:tcW w:w="1200" w:type="dxa"/>
            <w:gridSpan w:val="2"/>
            <w:vAlign w:val="center"/>
          </w:tcPr>
          <w:p>
            <w:pPr>
              <w:widowControl/>
              <w:spacing w:line="300" w:lineRule="exact"/>
              <w:jc w:val="left"/>
              <w:rPr>
                <w:rFonts w:asciiTheme="minorEastAsia" w:hAnsiTheme="minorEastAsia" w:eastAsiaTheme="minorEastAsia"/>
                <w:szCs w:val="21"/>
              </w:rPr>
            </w:pPr>
          </w:p>
        </w:tc>
        <w:tc>
          <w:tcPr>
            <w:tcW w:w="1110" w:type="dxa"/>
            <w:gridSpan w:val="2"/>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6.5.3</w:t>
            </w:r>
          </w:p>
        </w:tc>
        <w:tc>
          <w:tcPr>
            <w:tcW w:w="4620" w:type="dxa"/>
            <w:gridSpan w:val="2"/>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对于有爆炸危险性的仪器设备，应使用合适的安全罩防护。</w:t>
            </w:r>
            <w:r>
              <w:rPr>
                <w:rFonts w:asciiTheme="minorEastAsia" w:hAnsiTheme="minorEastAsia" w:eastAsiaTheme="minorEastAsia"/>
                <w:szCs w:val="21"/>
              </w:rPr>
              <w:t xml:space="preserve"> </w:t>
            </w:r>
          </w:p>
        </w:tc>
        <w:tc>
          <w:tcPr>
            <w:tcW w:w="2287"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0"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17" w:type="dxa"/>
            <w:vAlign w:val="center"/>
          </w:tcPr>
          <w:p>
            <w:pPr>
              <w:widowControl/>
              <w:spacing w:line="300" w:lineRule="exact"/>
              <w:jc w:val="center"/>
              <w:rPr>
                <w:rFonts w:asciiTheme="minorEastAsia" w:hAnsiTheme="minorEastAsia" w:eastAsiaTheme="minorEastAsia"/>
                <w:szCs w:val="21"/>
              </w:rPr>
            </w:pPr>
          </w:p>
        </w:tc>
        <w:tc>
          <w:tcPr>
            <w:tcW w:w="513" w:type="dxa"/>
            <w:vAlign w:val="center"/>
          </w:tcPr>
          <w:p>
            <w:pPr>
              <w:widowControl/>
              <w:spacing w:line="300" w:lineRule="exact"/>
              <w:jc w:val="center"/>
              <w:rPr>
                <w:rFonts w:asciiTheme="minorEastAsia" w:hAnsiTheme="minorEastAsia" w:eastAsiaTheme="minorEastAsia"/>
                <w:szCs w:val="21"/>
              </w:rPr>
            </w:pPr>
          </w:p>
        </w:tc>
        <w:tc>
          <w:tcPr>
            <w:tcW w:w="1980" w:type="dxa"/>
            <w:vAlign w:val="center"/>
          </w:tcPr>
          <w:p>
            <w:pPr>
              <w:widowControl/>
              <w:spacing w:line="300" w:lineRule="exact"/>
              <w:jc w:val="left"/>
              <w:rPr>
                <w:rFonts w:asciiTheme="minorEastAsia" w:hAnsiTheme="minorEastAsia" w:eastAsiaTheme="minorEastAsia"/>
                <w:szCs w:val="21"/>
              </w:rPr>
            </w:pPr>
          </w:p>
        </w:tc>
        <w:tc>
          <w:tcPr>
            <w:tcW w:w="1200" w:type="dxa"/>
            <w:gridSpan w:val="2"/>
            <w:vAlign w:val="center"/>
          </w:tcPr>
          <w:p>
            <w:pPr>
              <w:widowControl/>
              <w:spacing w:line="300" w:lineRule="exact"/>
              <w:jc w:val="left"/>
              <w:rPr>
                <w:rFonts w:asciiTheme="minorEastAsia" w:hAnsiTheme="minorEastAsia" w:eastAsiaTheme="minorEastAsia"/>
                <w:szCs w:val="21"/>
              </w:rPr>
            </w:pPr>
          </w:p>
        </w:tc>
        <w:tc>
          <w:tcPr>
            <w:tcW w:w="1110" w:type="dxa"/>
            <w:gridSpan w:val="2"/>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kern w:val="0"/>
                <w:szCs w:val="21"/>
              </w:rPr>
              <w:t>7.1</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用电基础安全</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7.1.1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用电</w:t>
            </w:r>
            <w:r>
              <w:rPr>
                <w:bCs/>
                <w:kern w:val="0"/>
                <w:szCs w:val="21"/>
              </w:rPr>
              <w:t>功率匹配</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 </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禁止多个接线板串接供电，接线板不宜直接置于地面</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.1.7</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.1.8</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.1.10</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配电柜/箱无物品遮挡并便于操作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7.2</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用水安全</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2287" w:type="dxa"/>
            <w:shd w:val="clear" w:color="auto" w:fill="auto"/>
            <w:tcMar>
              <w:left w:w="45" w:type="dxa"/>
              <w:right w:w="45" w:type="dxa"/>
            </w:tcMar>
            <w:vAlign w:val="center"/>
          </w:tcPr>
          <w:p>
            <w:pPr>
              <w:widowControl/>
              <w:tabs>
                <w:tab w:val="left" w:pos="630"/>
              </w:tabs>
              <w:spacing w:line="300" w:lineRule="exact"/>
              <w:jc w:val="left"/>
              <w:rPr>
                <w:bCs/>
                <w:kern w:val="0"/>
                <w:szCs w:val="21"/>
              </w:rPr>
            </w:pPr>
            <w:r>
              <w:rPr>
                <w:rFonts w:hint="eastAsia"/>
                <w:bCs/>
                <w:kern w:val="0"/>
                <w:szCs w:val="21"/>
              </w:rPr>
              <w:t>查看现场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无自来水龙头开着时人离开的现象</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7.2.4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 xml:space="preserve">位置 </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询问</w:t>
            </w:r>
            <w:r>
              <w:rPr>
                <w:bCs/>
                <w:kern w:val="0"/>
                <w:szCs w:val="21"/>
              </w:rPr>
              <w:t>实验人员</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7.3</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.3.1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查看发放登记纪录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7.3.2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按需要佩戴防护眼镜（如进行化学实验、有危险的机械操作等）</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7.3.3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现场查看、询问 </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r>
              <w:rPr>
                <w:bCs/>
                <w:kern w:val="0"/>
                <w:szCs w:val="21"/>
              </w:rPr>
              <w:t>询问</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7.3.7</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 xml:space="preserve">标识 </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7.3.8</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w:t>
            </w:r>
          </w:p>
        </w:tc>
        <w:tc>
          <w:tcPr>
            <w:tcW w:w="1803"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c>
          <w:tcPr>
            <w:tcW w:w="5104"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实验纪录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查看提醒标识</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实验记录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化学安全</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8.1</w:t>
            </w:r>
          </w:p>
        </w:tc>
        <w:tc>
          <w:tcPr>
            <w:tcW w:w="4620" w:type="dxa"/>
            <w:gridSpan w:val="2"/>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c>
          <w:tcPr>
            <w:tcW w:w="2287"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bCs/>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4620" w:type="dxa"/>
            <w:gridSpan w:val="2"/>
            <w:shd w:val="clear" w:color="auto" w:fill="auto"/>
            <w:tcMar>
              <w:left w:w="45" w:type="dxa"/>
              <w:right w:w="45" w:type="dxa"/>
            </w:tcMar>
            <w:vAlign w:val="center"/>
          </w:tcPr>
          <w:p>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2287" w:type="dxa"/>
            <w:vMerge w:val="restart"/>
            <w:shd w:val="clear" w:color="auto" w:fill="auto"/>
            <w:tcMar>
              <w:left w:w="45" w:type="dxa"/>
              <w:right w:w="45" w:type="dxa"/>
            </w:tcMar>
            <w:vAlign w:val="center"/>
          </w:tcPr>
          <w:p>
            <w:pPr>
              <w:spacing w:line="300" w:lineRule="exact"/>
              <w:jc w:val="left"/>
              <w:rPr>
                <w:kern w:val="0"/>
                <w:szCs w:val="21"/>
              </w:rPr>
            </w:pPr>
            <w:r>
              <w:rPr>
                <w:rFonts w:hint="eastAsia"/>
                <w:kern w:val="0"/>
                <w:szCs w:val="21"/>
              </w:rPr>
              <w:t>查看相关供应商的行政许可资质证书复印件；</w:t>
            </w:r>
          </w:p>
          <w:p>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4620" w:type="dxa"/>
            <w:gridSpan w:val="2"/>
            <w:shd w:val="clear" w:color="auto" w:fill="auto"/>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2287" w:type="dxa"/>
            <w:vMerge w:val="continue"/>
            <w:shd w:val="clear" w:color="auto" w:fill="auto"/>
            <w:tcMar>
              <w:left w:w="45" w:type="dxa"/>
              <w:right w:w="45" w:type="dxa"/>
            </w:tcMar>
            <w:vAlign w:val="center"/>
          </w:tcPr>
          <w:p>
            <w:pPr>
              <w:widowControl/>
              <w:spacing w:line="300" w:lineRule="exact"/>
              <w:rPr>
                <w:b/>
                <w:bCs/>
                <w:kern w:val="0"/>
                <w:szCs w:val="21"/>
              </w:rPr>
            </w:pP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4620" w:type="dxa"/>
            <w:gridSpan w:val="2"/>
            <w:shd w:val="clear" w:color="auto" w:fill="auto"/>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2287" w:type="dxa"/>
            <w:vMerge w:val="continue"/>
            <w:shd w:val="clear" w:color="auto" w:fill="auto"/>
            <w:tcMar>
              <w:left w:w="45" w:type="dxa"/>
              <w:right w:w="45" w:type="dxa"/>
            </w:tcMar>
            <w:vAlign w:val="center"/>
          </w:tcPr>
          <w:p>
            <w:pPr>
              <w:widowControl/>
              <w:spacing w:line="300" w:lineRule="exact"/>
              <w:rPr>
                <w:b/>
                <w:bCs/>
                <w:kern w:val="0"/>
                <w:szCs w:val="21"/>
              </w:rPr>
            </w:pP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4620" w:type="dxa"/>
            <w:gridSpan w:val="2"/>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查看验收记录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8.1.5</w:t>
            </w:r>
          </w:p>
        </w:tc>
        <w:tc>
          <w:tcPr>
            <w:tcW w:w="4620" w:type="dxa"/>
            <w:gridSpan w:val="2"/>
            <w:shd w:val="clear" w:color="auto" w:fill="auto"/>
            <w:tcMar>
              <w:left w:w="45" w:type="dxa"/>
              <w:right w:w="45" w:type="dxa"/>
            </w:tcMar>
            <w:vAlign w:val="center"/>
          </w:tcPr>
          <w:p>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8.2.1</w:t>
            </w:r>
          </w:p>
        </w:tc>
        <w:tc>
          <w:tcPr>
            <w:tcW w:w="4620" w:type="dxa"/>
            <w:gridSpan w:val="2"/>
            <w:shd w:val="clear" w:color="auto" w:fill="auto"/>
            <w:tcMar>
              <w:left w:w="45" w:type="dxa"/>
              <w:right w:w="45" w:type="dxa"/>
            </w:tcMar>
            <w:vAlign w:val="center"/>
          </w:tcPr>
          <w:p>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4620" w:type="dxa"/>
            <w:gridSpan w:val="2"/>
            <w:shd w:val="clear" w:color="auto" w:fill="auto"/>
            <w:tcMar>
              <w:left w:w="45" w:type="dxa"/>
              <w:right w:w="45" w:type="dxa"/>
            </w:tcMar>
            <w:vAlign w:val="center"/>
          </w:tcPr>
          <w:p>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8.2.3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8.2.4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不应超过100L或100kg，其中易燃易爆性化学品的存放总量不应超过50L 或50kg，且单一包装容器不应大于20L或20kg</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8.2.5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如单个实验装置存在10L以上甲类物质储罐，或20L以上乙类物质储罐，或50L以上丙类物质储罐，需加装泄露报警器及通风联动装置</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8.2.6</w:t>
            </w:r>
          </w:p>
        </w:tc>
        <w:tc>
          <w:tcPr>
            <w:tcW w:w="4620" w:type="dxa"/>
            <w:gridSpan w:val="2"/>
            <w:shd w:val="clear" w:color="auto" w:fill="auto"/>
            <w:tcMar>
              <w:left w:w="45" w:type="dxa"/>
              <w:right w:w="45" w:type="dxa"/>
            </w:tcMar>
            <w:vAlign w:val="center"/>
          </w:tcPr>
          <w:p>
            <w:pPr>
              <w:autoSpaceDE w:val="0"/>
              <w:autoSpaceDN w:val="0"/>
              <w:adjustRightInd w:val="0"/>
              <w:spacing w:line="300" w:lineRule="exact"/>
              <w:jc w:val="left"/>
              <w:rPr>
                <w:rFonts w:ascii="宋体" w:hAnsi="ºÚÌå" w:cs="宋体"/>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287" w:type="dxa"/>
            <w:shd w:val="clear" w:color="auto" w:fill="auto"/>
            <w:tcMar>
              <w:left w:w="45" w:type="dxa"/>
              <w:right w:w="45" w:type="dxa"/>
            </w:tcMar>
            <w:vAlign w:val="center"/>
          </w:tcPr>
          <w:p>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8.2.7</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8.3.2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是否有作业指导书</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控制</w:t>
            </w:r>
            <w:r>
              <w:rPr>
                <w:kern w:val="0"/>
                <w:szCs w:val="21"/>
              </w:rPr>
              <w:t>系统工作正常</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110" w:type="dxa"/>
            <w:gridSpan w:val="2"/>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110" w:type="dxa"/>
            <w:gridSpan w:val="2"/>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w:t>
            </w:r>
            <w:r>
              <w:rPr>
                <w:kern w:val="0"/>
                <w:szCs w:val="21"/>
              </w:rPr>
              <w:t>6</w:t>
            </w:r>
          </w:p>
        </w:tc>
        <w:tc>
          <w:tcPr>
            <w:tcW w:w="4620" w:type="dxa"/>
            <w:gridSpan w:val="2"/>
            <w:shd w:val="clear" w:color="auto" w:fill="auto"/>
            <w:tcMar>
              <w:left w:w="45" w:type="dxa"/>
              <w:right w:w="45" w:type="dxa"/>
            </w:tcMar>
            <w:vAlign w:val="center"/>
          </w:tcPr>
          <w:p>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8.4</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剧毒品管理</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8.4.1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2名分别掌管了钥匙和密码的保管人同时到场时才能开启保险柜</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8.4.2</w:t>
            </w:r>
          </w:p>
        </w:tc>
        <w:tc>
          <w:tcPr>
            <w:tcW w:w="4620" w:type="dxa"/>
            <w:gridSpan w:val="2"/>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hint="eastAsia" w:ascii="宋体" w:cs="宋体"/>
                <w:kern w:val="0"/>
                <w:szCs w:val="21"/>
              </w:rPr>
              <w:t>应</w:t>
            </w:r>
            <w:r>
              <w:rPr>
                <w:rFonts w:hint="eastAsia"/>
                <w:kern w:val="0"/>
                <w:szCs w:val="21"/>
              </w:rPr>
              <w:t>严格</w:t>
            </w:r>
            <w:r>
              <w:rPr>
                <w:kern w:val="0"/>
                <w:szCs w:val="21"/>
              </w:rPr>
              <w:t>记录</w:t>
            </w:r>
            <w:r>
              <w:rPr>
                <w:rFonts w:hint="eastAsia" w:ascii="宋体" w:cs="宋体"/>
                <w:kern w:val="0"/>
                <w:szCs w:val="21"/>
              </w:rPr>
              <w:t>品种、规格以</w:t>
            </w:r>
            <w:r>
              <w:rPr>
                <w:rFonts w:ascii="宋体" w:cs="宋体"/>
                <w:kern w:val="0"/>
                <w:szCs w:val="21"/>
              </w:rPr>
              <w:t>及</w:t>
            </w:r>
            <w:r>
              <w:rPr>
                <w:rFonts w:hint="eastAsia" w:ascii="宋体" w:cs="宋体"/>
                <w:kern w:val="0"/>
                <w:szCs w:val="21"/>
              </w:rPr>
              <w:t>购入、发放、退回的日期、单位及经手人、数量以及结存数量</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8.4.3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使用时有两人同时在场，且计量取用后立即放回保险柜，</w:t>
            </w:r>
            <w:r>
              <w:rPr>
                <w:rFonts w:hint="eastAsia" w:ascii="宋体" w:cs="宋体"/>
                <w:kern w:val="0"/>
                <w:szCs w:val="21"/>
              </w:rPr>
              <w:t>详细记载用途，</w:t>
            </w:r>
            <w:r>
              <w:rPr>
                <w:kern w:val="0"/>
                <w:szCs w:val="21"/>
              </w:rPr>
              <w:t>双人签字</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8.4.4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8.5</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8.5.1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其中第一类易制毒品实行“五双”管理制度</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8.5.2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易制爆品分类存放、专人保管，做好领取、使用、处置记录</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8.5.3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8.5.4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8.6</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实验气体管理</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8.6.1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8.6.2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8.6.3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8.6.4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8.6.5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8.6.6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hAnsi="MS Mincho" w:eastAsia="MS Mincho"/>
                <w:bCs/>
                <w:kern w:val="0"/>
                <w:szCs w:val="21"/>
              </w:rPr>
              <w:t>“</w:t>
            </w:r>
            <w:r>
              <w:rPr>
                <w:bCs/>
                <w:kern w:val="0"/>
                <w:szCs w:val="21"/>
              </w:rPr>
              <w:t>满、使用中、用完</w:t>
            </w:r>
            <w:r>
              <w:rPr>
                <w:rFonts w:ascii="MS Mincho" w:hAnsi="MS Mincho" w:eastAsia="MS Mincho"/>
                <w:bCs/>
                <w:kern w:val="0"/>
                <w:szCs w:val="21"/>
              </w:rPr>
              <w:t>”</w:t>
            </w:r>
            <w:r>
              <w:rPr>
                <w:bCs/>
                <w:kern w:val="0"/>
                <w:szCs w:val="21"/>
              </w:rPr>
              <w:t>三种状态</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8.6.7</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可燃性气体与氧气等助燃气体不混放</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8.6.8</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8.6.9</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8.6.10</w:t>
            </w:r>
          </w:p>
        </w:tc>
        <w:tc>
          <w:tcPr>
            <w:tcW w:w="4620" w:type="dxa"/>
            <w:gridSpan w:val="2"/>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8.6.11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不能带着减压阀移动钢瓶、不得在地上滚动钢瓶</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8.7</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8.7.1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与有资质的处置单位（企业）签约处置化学废弃物</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8.7.2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8.7.3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8.7.4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8.7.5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8.7.6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8.7.7</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锐器废物盛放在纸板箱等不易被刺穿的容器中</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8.8</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kern w:val="0"/>
                <w:szCs w:val="21"/>
              </w:rPr>
              <w:t>8.8.1</w:t>
            </w:r>
          </w:p>
        </w:tc>
        <w:tc>
          <w:tcPr>
            <w:tcW w:w="4620" w:type="dxa"/>
            <w:gridSpan w:val="2"/>
            <w:shd w:val="clear" w:color="auto" w:fill="auto"/>
            <w:tcMar>
              <w:left w:w="45" w:type="dxa"/>
              <w:right w:w="45" w:type="dxa"/>
            </w:tcMar>
            <w:vAlign w:val="center"/>
          </w:tcPr>
          <w:p>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2287" w:type="dxa"/>
            <w:shd w:val="clear" w:color="auto" w:fill="auto"/>
            <w:tcMar>
              <w:left w:w="45" w:type="dxa"/>
              <w:right w:w="45" w:type="dxa"/>
            </w:tcMar>
            <w:vAlign w:val="center"/>
          </w:tcPr>
          <w:p>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kern w:val="0"/>
                <w:szCs w:val="21"/>
              </w:rPr>
              <w:t>8.8.2</w:t>
            </w:r>
          </w:p>
        </w:tc>
        <w:tc>
          <w:tcPr>
            <w:tcW w:w="4620" w:type="dxa"/>
            <w:gridSpan w:val="2"/>
            <w:shd w:val="clear" w:color="auto" w:fill="auto"/>
            <w:tcMar>
              <w:left w:w="45" w:type="dxa"/>
              <w:right w:w="45" w:type="dxa"/>
            </w:tcMar>
            <w:vAlign w:val="center"/>
          </w:tcPr>
          <w:p>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kern w:val="0"/>
                <w:szCs w:val="21"/>
              </w:rPr>
              <w:t>8.8.3</w:t>
            </w:r>
          </w:p>
        </w:tc>
        <w:tc>
          <w:tcPr>
            <w:tcW w:w="4620" w:type="dxa"/>
            <w:gridSpan w:val="2"/>
            <w:shd w:val="clear" w:color="auto" w:fill="auto"/>
            <w:tcMar>
              <w:left w:w="45" w:type="dxa"/>
              <w:right w:w="45" w:type="dxa"/>
            </w:tcMar>
            <w:vAlign w:val="center"/>
          </w:tcPr>
          <w:p>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kern w:val="0"/>
                <w:szCs w:val="21"/>
              </w:rPr>
              <w:t>8.8.4</w:t>
            </w:r>
          </w:p>
        </w:tc>
        <w:tc>
          <w:tcPr>
            <w:tcW w:w="4620" w:type="dxa"/>
            <w:gridSpan w:val="2"/>
            <w:shd w:val="clear" w:color="auto" w:fill="auto"/>
            <w:tcMar>
              <w:left w:w="45" w:type="dxa"/>
              <w:right w:w="45" w:type="dxa"/>
            </w:tcMar>
            <w:vAlign w:val="center"/>
          </w:tcPr>
          <w:p>
            <w:pPr>
              <w:widowControl/>
              <w:spacing w:line="300" w:lineRule="exact"/>
              <w:rPr>
                <w:kern w:val="0"/>
                <w:szCs w:val="21"/>
              </w:rPr>
            </w:pPr>
            <w:r>
              <w:rPr>
                <w:szCs w:val="21"/>
              </w:rPr>
              <w:t>化学品、废弃物分类区域明确，规范放置</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rPr>
                <w:kern w:val="0"/>
                <w:szCs w:val="21"/>
              </w:rPr>
            </w:pPr>
            <w:r>
              <w:rPr>
                <w:kern w:val="0"/>
                <w:szCs w:val="21"/>
              </w:rPr>
              <w:t>8.8.5</w:t>
            </w:r>
          </w:p>
        </w:tc>
        <w:tc>
          <w:tcPr>
            <w:tcW w:w="4620" w:type="dxa"/>
            <w:gridSpan w:val="2"/>
            <w:shd w:val="clear" w:color="auto" w:fill="auto"/>
            <w:tcMar>
              <w:left w:w="45" w:type="dxa"/>
              <w:right w:w="45" w:type="dxa"/>
            </w:tcMar>
            <w:vAlign w:val="center"/>
          </w:tcPr>
          <w:p>
            <w:pPr>
              <w:widowControl/>
              <w:spacing w:line="300" w:lineRule="exact"/>
              <w:rPr>
                <w:kern w:val="0"/>
                <w:szCs w:val="21"/>
              </w:rPr>
            </w:pPr>
            <w:r>
              <w:rPr>
                <w:szCs w:val="21"/>
              </w:rPr>
              <w:t>建立进出库台账</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8.9</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其它化学安全</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8.9.</w:t>
            </w:r>
            <w:r>
              <w:rPr>
                <w:rFonts w:hint="eastAsia"/>
                <w:kern w:val="0"/>
                <w:szCs w:val="21"/>
                <w:lang w:val="en-US" w:eastAsia="zh-CN"/>
              </w:rPr>
              <w:t>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信息</w:t>
            </w:r>
            <w:r>
              <w:rPr>
                <w:bCs/>
                <w:kern w:val="0"/>
                <w:szCs w:val="21"/>
              </w:rPr>
              <w:t>不缺项</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8.9.</w:t>
            </w:r>
            <w:r>
              <w:rPr>
                <w:rFonts w:hint="eastAsia"/>
                <w:kern w:val="0"/>
                <w:szCs w:val="21"/>
                <w:lang w:val="en-US" w:eastAsia="zh-CN"/>
              </w:rPr>
              <w:t>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盛放配置试剂、合成品等的烧杯、烧瓶不得无盖放置</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8.9.</w:t>
            </w:r>
            <w:r>
              <w:rPr>
                <w:rFonts w:hint="eastAsia"/>
                <w:kern w:val="0"/>
                <w:szCs w:val="21"/>
                <w:lang w:val="en-US" w:eastAsia="zh-CN"/>
              </w:rPr>
              <w:t>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8.9.</w:t>
            </w:r>
            <w:r>
              <w:rPr>
                <w:rFonts w:hint="eastAsia"/>
                <w:kern w:val="0"/>
                <w:szCs w:val="21"/>
                <w:lang w:val="en-US" w:eastAsia="zh-CN"/>
              </w:rPr>
              <w:t>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8.9.</w:t>
            </w:r>
            <w:r>
              <w:rPr>
                <w:rFonts w:hint="eastAsia"/>
                <w:kern w:val="0"/>
                <w:szCs w:val="21"/>
                <w:lang w:val="en-US" w:eastAsia="zh-CN"/>
              </w:rPr>
              <w:t>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8.9.</w:t>
            </w:r>
            <w:r>
              <w:rPr>
                <w:rFonts w:hint="eastAsia"/>
                <w:kern w:val="0"/>
                <w:szCs w:val="21"/>
                <w:lang w:val="en-US" w:eastAsia="zh-CN"/>
              </w:rPr>
              <w:t>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2287" w:type="dxa"/>
            <w:shd w:val="clear" w:color="auto" w:fill="auto"/>
            <w:tcMar>
              <w:left w:w="45" w:type="dxa"/>
              <w:right w:w="45" w:type="dxa"/>
            </w:tcMar>
            <w:vAlign w:val="center"/>
          </w:tcPr>
          <w:p>
            <w:pPr>
              <w:widowControl/>
              <w:spacing w:line="300" w:lineRule="exact"/>
              <w:jc w:val="left"/>
              <w:rPr>
                <w:bCs/>
                <w:kern w:val="0"/>
                <w:szCs w:val="21"/>
              </w:rPr>
            </w:pP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8.9.</w:t>
            </w:r>
            <w:r>
              <w:rPr>
                <w:rFonts w:hint="eastAsia"/>
                <w:kern w:val="0"/>
                <w:szCs w:val="21"/>
                <w:lang w:val="en-US" w:eastAsia="zh-CN"/>
              </w:rPr>
              <w:t>7</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化学</w:t>
            </w:r>
            <w:r>
              <w:rPr>
                <w:szCs w:val="21"/>
              </w:rPr>
              <w:t>实验室内有吸液（油）棉/条带</w:t>
            </w:r>
            <w:r>
              <w:rPr>
                <w:rFonts w:hint="eastAsia"/>
                <w:szCs w:val="21"/>
              </w:rPr>
              <w:t>、</w:t>
            </w:r>
            <w:r>
              <w:rPr>
                <w:szCs w:val="21"/>
              </w:rPr>
              <w:t>液体泄漏吸附剂等</w:t>
            </w:r>
          </w:p>
        </w:tc>
        <w:tc>
          <w:tcPr>
            <w:tcW w:w="2287" w:type="dxa"/>
            <w:shd w:val="clear" w:color="auto" w:fill="auto"/>
            <w:tcMar>
              <w:left w:w="45" w:type="dxa"/>
              <w:right w:w="45" w:type="dxa"/>
            </w:tcMar>
            <w:vAlign w:val="center"/>
          </w:tcPr>
          <w:p>
            <w:pPr>
              <w:widowControl/>
              <w:spacing w:line="300" w:lineRule="exact"/>
              <w:jc w:val="left"/>
              <w:rPr>
                <w:bCs/>
                <w:kern w:val="0"/>
                <w:szCs w:val="21"/>
              </w:rPr>
            </w:pP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rFonts w:hint="eastAsia" w:eastAsia="宋体"/>
                <w:b/>
                <w:kern w:val="0"/>
                <w:szCs w:val="21"/>
                <w:lang w:val="en-US" w:eastAsia="zh-CN"/>
              </w:rPr>
            </w:pPr>
            <w:r>
              <w:rPr>
                <w:rFonts w:hint="eastAsia"/>
                <w:b/>
                <w:kern w:val="0"/>
                <w:szCs w:val="21"/>
                <w:lang w:val="en-US" w:eastAsia="zh-CN"/>
              </w:rPr>
              <w:t>9</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辐射安全</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lang w:val="en-US" w:eastAsia="zh-CN"/>
              </w:rPr>
              <w:t>9</w:t>
            </w:r>
            <w:r>
              <w:rPr>
                <w:b/>
                <w:kern w:val="0"/>
                <w:szCs w:val="21"/>
              </w:rPr>
              <w:t>.1</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.1.1</w:t>
            </w:r>
          </w:p>
        </w:tc>
        <w:tc>
          <w:tcPr>
            <w:tcW w:w="4620" w:type="dxa"/>
            <w:gridSpan w:val="2"/>
            <w:shd w:val="clear" w:color="auto" w:fill="auto"/>
            <w:tcMar>
              <w:left w:w="45" w:type="dxa"/>
              <w:right w:w="45" w:type="dxa"/>
            </w:tcMar>
            <w:vAlign w:val="center"/>
          </w:tcPr>
          <w:p>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取得“辐射安全许可证”，并按规定在放射性核素种类和用量</w:t>
            </w:r>
            <w:r>
              <w:rPr>
                <w:rFonts w:hint="eastAsia"/>
                <w:kern w:val="0"/>
                <w:szCs w:val="21"/>
              </w:rPr>
              <w:t>以及</w:t>
            </w:r>
            <w:r>
              <w:rPr>
                <w:kern w:val="0"/>
                <w:szCs w:val="21"/>
              </w:rPr>
              <w:t>射线种类许可范围内开展实验</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rFonts w:hint="eastAsia"/>
                <w:kern w:val="0"/>
                <w:szCs w:val="21"/>
              </w:rPr>
              <w:t>1.2</w:t>
            </w:r>
          </w:p>
        </w:tc>
        <w:tc>
          <w:tcPr>
            <w:tcW w:w="4620" w:type="dxa"/>
            <w:gridSpan w:val="2"/>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.1.3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（4年</w:t>
            </w:r>
            <w:r>
              <w:rPr>
                <w:kern w:val="0"/>
                <w:szCs w:val="21"/>
              </w:rPr>
              <w:t>复训</w:t>
            </w:r>
            <w:r>
              <w:rPr>
                <w:rFonts w:hint="eastAsia"/>
                <w:kern w:val="0"/>
                <w:szCs w:val="21"/>
              </w:rPr>
              <w:t>1次）</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查看培训证书</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.1.4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体检报告</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.1.5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有资质单位按时进行剂量检测（3个月一次），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lang w:val="en-US" w:eastAsia="zh-CN"/>
              </w:rPr>
              <w:t>9</w:t>
            </w:r>
            <w:r>
              <w:rPr>
                <w:b/>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.2.1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2.2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放射源储存库双门双控，并有安全报警系统（与公安部门联网）和视频监控系统</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.2.3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实验场所（放射性物质、X射线装置）有</w:t>
            </w:r>
            <w:r>
              <w:rPr>
                <w:rFonts w:hint="eastAsia"/>
                <w:kern w:val="0"/>
                <w:szCs w:val="21"/>
              </w:rPr>
              <w:t>明显的</w:t>
            </w:r>
            <w:r>
              <w:rPr>
                <w:kern w:val="0"/>
                <w:szCs w:val="21"/>
              </w:rPr>
              <w:t>安全警示标识、警戒线和剂量报警仪</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.2.4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.2.5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有专门存放放射性废弃物的容器和暂存库</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有准确的台帐</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.2.6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lang w:val="en-US" w:eastAsia="zh-CN"/>
              </w:rPr>
              <w:t>9</w:t>
            </w:r>
            <w:r>
              <w:rPr>
                <w:b/>
                <w:kern w:val="0"/>
                <w:szCs w:val="21"/>
              </w:rPr>
              <w:t>.3</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采购、转让转移与运输</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.3.1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.3.2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放射源和放射性物质的转移和运输有学校及公安部门的审批备案材料</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.3.3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lang w:val="en-US" w:eastAsia="zh-CN"/>
              </w:rPr>
              <w:t>9</w:t>
            </w:r>
            <w:r>
              <w:rPr>
                <w:b/>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放射性实验安全操作</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.4.1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Г辐照装置有符合国家相关规定的操作规程、安保方案及应急预案，并遵照执行</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.4.2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.4.3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射线探伤仪有符合国家相关规定的操作规程、安保方案及应急预案，并遵照执行</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.4.4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非密封性放射性实验操作有符合国家相关规定的操作规程，并遵照执行</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rFonts w:hint="eastAsia"/>
                <w:kern w:val="0"/>
                <w:szCs w:val="21"/>
              </w:rPr>
              <w:t>.4.5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5类</w:t>
            </w:r>
            <w:r>
              <w:rPr>
                <w:kern w:val="0"/>
                <w:szCs w:val="21"/>
              </w:rPr>
              <w:t>以上的密封性放射性实验操作有符合国家相关规定的操作规程，并遵照执行</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lang w:val="en-US" w:eastAsia="zh-CN"/>
              </w:rPr>
              <w:t>9</w:t>
            </w:r>
            <w:r>
              <w:rPr>
                <w:b/>
                <w:kern w:val="0"/>
                <w:szCs w:val="21"/>
              </w:rPr>
              <w:t>.5</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.5.1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.5.2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kern w:val="0"/>
                <w:szCs w:val="21"/>
              </w:rPr>
              <w:t>.5.3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短半衰期核素固液废弃物放置10个半衰期经检测达标后作为普通废物处理，并有处置记录</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9</w:t>
            </w:r>
            <w:r>
              <w:rPr>
                <w:rFonts w:hint="eastAsia"/>
                <w:kern w:val="0"/>
                <w:szCs w:val="21"/>
              </w:rPr>
              <w:t>.5.4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r>
              <w:rPr>
                <w:rFonts w:hint="eastAsia"/>
                <w:b/>
                <w:kern w:val="0"/>
                <w:szCs w:val="21"/>
                <w:lang w:val="en-US" w:eastAsia="zh-CN"/>
              </w:rPr>
              <w:t>0</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r>
              <w:rPr>
                <w:rFonts w:hint="eastAsia"/>
                <w:b/>
                <w:kern w:val="0"/>
                <w:szCs w:val="21"/>
                <w:lang w:val="en-US" w:eastAsia="zh-CN"/>
              </w:rPr>
              <w:t>0</w:t>
            </w:r>
            <w:r>
              <w:rPr>
                <w:b/>
                <w:kern w:val="0"/>
                <w:szCs w:val="21"/>
              </w:rPr>
              <w:t>.1</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kern w:val="0"/>
                <w:szCs w:val="21"/>
              </w:rPr>
              <w:t>.1.1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2287"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kern w:val="0"/>
                <w:szCs w:val="21"/>
              </w:rPr>
              <w:t>.1.2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查看电源配电箱、地线</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kern w:val="0"/>
                <w:szCs w:val="21"/>
              </w:rPr>
              <w:t>.1.</w:t>
            </w:r>
            <w:r>
              <w:rPr>
                <w:rFonts w:hint="eastAsia"/>
                <w:kern w:val="0"/>
                <w:szCs w:val="21"/>
              </w:rPr>
              <w:t>3</w:t>
            </w:r>
          </w:p>
        </w:tc>
        <w:tc>
          <w:tcPr>
            <w:tcW w:w="4620" w:type="dxa"/>
            <w:gridSpan w:val="2"/>
            <w:shd w:val="clear" w:color="auto" w:fill="auto"/>
            <w:tcMar>
              <w:left w:w="45" w:type="dxa"/>
              <w:right w:w="45" w:type="dxa"/>
            </w:tcMar>
            <w:vAlign w:val="center"/>
          </w:tcPr>
          <w:p>
            <w:pPr>
              <w:spacing w:line="300" w:lineRule="exact"/>
              <w:rPr>
                <w:szCs w:val="21"/>
              </w:rPr>
            </w:pPr>
            <w:r>
              <w:rPr>
                <w:rFonts w:hint="eastAsia"/>
                <w:szCs w:val="21"/>
              </w:rPr>
              <w:t>仪器设备接地系统应按规范要求，采用铜质材料，且设计寿命不应低于50年</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接地电阻不高于0.5欧</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lang w:val="en-US" w:eastAsia="zh-CN"/>
              </w:rPr>
              <w:t>0</w:t>
            </w:r>
            <w:r>
              <w:rPr>
                <w:kern w:val="0"/>
                <w:szCs w:val="21"/>
              </w:rPr>
              <w:t>.1.</w:t>
            </w:r>
            <w:r>
              <w:rPr>
                <w:rFonts w:hint="eastAsia"/>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查看记录及维修、维护周期</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lang w:val="en-US" w:eastAsia="zh-CN"/>
              </w:rPr>
              <w:t>0</w:t>
            </w:r>
            <w:r>
              <w:rPr>
                <w:kern w:val="0"/>
                <w:szCs w:val="21"/>
              </w:rPr>
              <w:t>.1.</w:t>
            </w:r>
            <w:r>
              <w:rPr>
                <w:rFonts w:hint="eastAsia"/>
                <w:kern w:val="0"/>
                <w:szCs w:val="21"/>
              </w:rPr>
              <w:t>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lang w:val="en-US" w:eastAsia="zh-CN"/>
              </w:rPr>
              <w:t>0</w:t>
            </w:r>
            <w:r>
              <w:rPr>
                <w:kern w:val="0"/>
                <w:szCs w:val="21"/>
              </w:rPr>
              <w:t>.1.</w:t>
            </w:r>
            <w:r>
              <w:rPr>
                <w:rFonts w:hint="eastAsia"/>
                <w:kern w:val="0"/>
                <w:szCs w:val="21"/>
              </w:rPr>
              <w:t>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大型、特种设备要有安全操作规程或注意事项明示</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有手册或规范明示牌</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lang w:val="en-US" w:eastAsia="zh-CN"/>
              </w:rPr>
              <w:t>0</w:t>
            </w:r>
            <w:r>
              <w:rPr>
                <w:kern w:val="0"/>
                <w:szCs w:val="21"/>
              </w:rPr>
              <w:t>.1.</w:t>
            </w:r>
            <w:r>
              <w:rPr>
                <w:rFonts w:hint="eastAsia"/>
                <w:kern w:val="0"/>
                <w:szCs w:val="21"/>
              </w:rPr>
              <w:t>7</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昼夜工作的设备要有实时监控设施</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lang w:val="en-US" w:eastAsia="zh-CN"/>
              </w:rPr>
              <w:t>0</w:t>
            </w:r>
            <w:r>
              <w:rPr>
                <w:kern w:val="0"/>
                <w:szCs w:val="21"/>
              </w:rPr>
              <w:t>.1.</w:t>
            </w:r>
            <w:r>
              <w:rPr>
                <w:rFonts w:hint="eastAsia"/>
                <w:kern w:val="0"/>
                <w:szCs w:val="21"/>
              </w:rPr>
              <w:t>8</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lang w:val="en-US" w:eastAsia="zh-CN"/>
              </w:rPr>
              <w:t>0</w:t>
            </w:r>
            <w:r>
              <w:rPr>
                <w:kern w:val="0"/>
                <w:szCs w:val="21"/>
              </w:rPr>
              <w:t>.1.9</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检查是否有安全空间</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.1.10</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电子天平不放在阳光直射的地方，且用后及时清理</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检查避光、遮光</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.1.11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自研自制设备时，须充分考虑安全系数，并有安全防护措施</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查看现场、资料</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w:t>
            </w:r>
            <w:r>
              <w:rPr>
                <w:rFonts w:hint="eastAsia"/>
                <w:b/>
                <w:kern w:val="0"/>
                <w:szCs w:val="21"/>
                <w:lang w:val="en-US" w:eastAsia="zh-CN"/>
              </w:rPr>
              <w:t>0</w:t>
            </w:r>
            <w:r>
              <w:rPr>
                <w:rFonts w:hint="eastAsia"/>
                <w:b/>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c>
          <w:tcPr>
            <w:tcW w:w="2287" w:type="dxa"/>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.2.1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检查操作提示、防护配置；有人操作时检查执行情况</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.2.2</w:t>
            </w:r>
          </w:p>
        </w:tc>
        <w:tc>
          <w:tcPr>
            <w:tcW w:w="4620" w:type="dxa"/>
            <w:gridSpan w:val="2"/>
            <w:shd w:val="clear" w:color="auto" w:fill="auto"/>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2287"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检查机床整洁</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.2.3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检查区域标示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.2.4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检查接地，用电笔检查设备静电</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.2.5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.2.6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锻压设备不得空打或大力敲打过薄锻件，锻造时锻件应达到850 C以上，锻锤空置时应垫有木块</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.2.7</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热处理加热电炉接地良好，金属物品不能触碰带电部位</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.2.8</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.2.9</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淬火油槽不得有水，油量不能过少，以免发生火灾</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.2.10</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铸造实验场地宽敞、通道畅通，实验时穿好劳动保护服装 </w:t>
            </w:r>
          </w:p>
        </w:tc>
        <w:tc>
          <w:tcPr>
            <w:tcW w:w="2287" w:type="dxa"/>
            <w:shd w:val="clear" w:color="auto" w:fill="auto"/>
            <w:tcMar>
              <w:left w:w="45" w:type="dxa"/>
              <w:right w:w="45" w:type="dxa"/>
            </w:tcMar>
            <w:vAlign w:val="center"/>
          </w:tcPr>
          <w:p>
            <w:pPr>
              <w:spacing w:line="300" w:lineRule="exact"/>
              <w:rPr>
                <w:kern w:val="0"/>
                <w:szCs w:val="21"/>
              </w:rPr>
            </w:pPr>
            <w:r>
              <w:rPr>
                <w:rFonts w:hint="eastAsia"/>
                <w:kern w:val="0"/>
                <w:szCs w:val="21"/>
              </w:rPr>
              <w:t>检查工作现场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.2.11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.2.12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机械加工等产生噪音的实验做好消音工作</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.2.13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2米以上高空临边、攀登作业，要穿防滑鞋、使用安全带，有相关安全操作规程</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w:t>
            </w:r>
            <w:r>
              <w:rPr>
                <w:rFonts w:hint="eastAsia"/>
                <w:b/>
                <w:kern w:val="0"/>
                <w:szCs w:val="21"/>
                <w:lang w:val="en-US" w:eastAsia="zh-CN"/>
              </w:rPr>
              <w:t>0</w:t>
            </w:r>
            <w:r>
              <w:rPr>
                <w:rFonts w:hint="eastAsia"/>
                <w:b/>
                <w:kern w:val="0"/>
                <w:szCs w:val="21"/>
              </w:rPr>
              <w:t>.3</w:t>
            </w:r>
          </w:p>
        </w:tc>
        <w:tc>
          <w:tcPr>
            <w:tcW w:w="4620" w:type="dxa"/>
            <w:gridSpan w:val="2"/>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c>
          <w:tcPr>
            <w:tcW w:w="2287" w:type="dxa"/>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.3.1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电气设备所用的保险丝(管)的额定电流应与其负荷容量相适应，无用其它金属线代替保险丝(片)现象 </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检查设备及要求</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.3.2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检查室内机及设备配电</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.3.3</w:t>
            </w:r>
          </w:p>
        </w:tc>
        <w:tc>
          <w:tcPr>
            <w:tcW w:w="4620" w:type="dxa"/>
            <w:gridSpan w:val="2"/>
            <w:shd w:val="clear" w:color="auto" w:fill="auto"/>
            <w:tcMar>
              <w:left w:w="45" w:type="dxa"/>
              <w:right w:w="45" w:type="dxa"/>
            </w:tcMar>
            <w:vAlign w:val="center"/>
          </w:tcPr>
          <w:p>
            <w:pPr>
              <w:spacing w:line="300" w:lineRule="exact"/>
              <w:rPr>
                <w:kern w:val="0"/>
                <w:szCs w:val="21"/>
              </w:rPr>
            </w:pPr>
            <w:r>
              <w:rPr>
                <w:rFonts w:hint="eastAsia"/>
                <w:kern w:val="0"/>
                <w:szCs w:val="21"/>
              </w:rPr>
              <w:t>强电类实验必须二人以上，操作时应戴绝缘手套</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检查实验要求、</w:t>
            </w:r>
            <w:r>
              <w:rPr>
                <w:kern w:val="0"/>
                <w:szCs w:val="21"/>
              </w:rPr>
              <w:t>记录</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.3.4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.3.5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szCs w:val="21"/>
              </w:rPr>
              <w:t>试验室内的功能间墙面都应设有专用接地母排，并设有多点接地引出端</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.3.6</w:t>
            </w:r>
          </w:p>
        </w:tc>
        <w:tc>
          <w:tcPr>
            <w:tcW w:w="4620" w:type="dxa"/>
            <w:gridSpan w:val="2"/>
            <w:shd w:val="clear" w:color="auto" w:fill="auto"/>
            <w:tcMar>
              <w:left w:w="45" w:type="dxa"/>
              <w:right w:w="45" w:type="dxa"/>
            </w:tcMar>
            <w:vAlign w:val="center"/>
          </w:tcPr>
          <w:p>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安全距离：10kV为0.7m；66kV为1.5m；220kV为3m；</w:t>
            </w:r>
            <w:r>
              <w:rPr>
                <w:rFonts w:hint="eastAsia"/>
                <w:bCs/>
                <w:kern w:val="0"/>
                <w:szCs w:val="21"/>
              </w:rPr>
              <w:t>检查报警系统</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.3.7</w:t>
            </w:r>
          </w:p>
        </w:tc>
        <w:tc>
          <w:tcPr>
            <w:tcW w:w="4620" w:type="dxa"/>
            <w:gridSpan w:val="2"/>
            <w:shd w:val="clear" w:color="auto" w:fill="auto"/>
            <w:tcMar>
              <w:left w:w="45" w:type="dxa"/>
              <w:right w:w="45" w:type="dxa"/>
            </w:tcMar>
            <w:vAlign w:val="center"/>
          </w:tcPr>
          <w:p>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.3.8</w:t>
            </w:r>
          </w:p>
        </w:tc>
        <w:tc>
          <w:tcPr>
            <w:tcW w:w="4620" w:type="dxa"/>
            <w:gridSpan w:val="2"/>
            <w:shd w:val="clear" w:color="auto" w:fill="auto"/>
            <w:tcMar>
              <w:left w:w="45" w:type="dxa"/>
              <w:right w:w="45" w:type="dxa"/>
            </w:tcMar>
            <w:vAlign w:val="center"/>
          </w:tcPr>
          <w:p>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检查护具及提示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.3.9</w:t>
            </w:r>
          </w:p>
        </w:tc>
        <w:tc>
          <w:tcPr>
            <w:tcW w:w="4620" w:type="dxa"/>
            <w:gridSpan w:val="2"/>
            <w:shd w:val="clear" w:color="auto" w:fill="auto"/>
            <w:tcMar>
              <w:left w:w="45" w:type="dxa"/>
              <w:right w:w="45" w:type="dxa"/>
            </w:tcMar>
            <w:vAlign w:val="center"/>
          </w:tcPr>
          <w:p>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检查试验要求</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.3.10</w:t>
            </w:r>
          </w:p>
        </w:tc>
        <w:tc>
          <w:tcPr>
            <w:tcW w:w="4620" w:type="dxa"/>
            <w:gridSpan w:val="2"/>
            <w:shd w:val="clear" w:color="auto" w:fill="auto"/>
            <w:tcMar>
              <w:left w:w="45" w:type="dxa"/>
              <w:right w:w="45" w:type="dxa"/>
            </w:tcMar>
            <w:vAlign w:val="center"/>
          </w:tcPr>
          <w:p>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标识牌</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kern w:val="0"/>
                <w:szCs w:val="21"/>
              </w:rPr>
            </w:pPr>
            <w:r>
              <w:rPr>
                <w:rFonts w:hint="eastAsia"/>
                <w:kern w:val="0"/>
                <w:szCs w:val="21"/>
              </w:rPr>
              <w:t>1</w:t>
            </w:r>
            <w:r>
              <w:rPr>
                <w:rFonts w:hint="eastAsia"/>
                <w:kern w:val="0"/>
                <w:szCs w:val="21"/>
                <w:lang w:val="en-US" w:eastAsia="zh-CN"/>
              </w:rPr>
              <w:t>0</w:t>
            </w:r>
            <w:r>
              <w:rPr>
                <w:rFonts w:hint="eastAsia"/>
                <w:kern w:val="0"/>
                <w:szCs w:val="21"/>
              </w:rPr>
              <w:t>.3.11</w:t>
            </w:r>
          </w:p>
        </w:tc>
        <w:tc>
          <w:tcPr>
            <w:tcW w:w="4620" w:type="dxa"/>
            <w:gridSpan w:val="2"/>
            <w:shd w:val="clear" w:color="auto" w:fill="auto"/>
            <w:tcMar>
              <w:left w:w="45" w:type="dxa"/>
              <w:right w:w="45" w:type="dxa"/>
            </w:tcMar>
            <w:vAlign w:val="center"/>
          </w:tcPr>
          <w:p>
            <w:pPr>
              <w:spacing w:line="300" w:lineRule="exact"/>
              <w:rPr>
                <w:szCs w:val="21"/>
              </w:rPr>
            </w:pPr>
            <w:r>
              <w:rPr>
                <w:rFonts w:hint="eastAsia"/>
                <w:szCs w:val="21"/>
              </w:rPr>
              <w:t>电烙铁</w:t>
            </w:r>
            <w:r>
              <w:rPr>
                <w:szCs w:val="21"/>
              </w:rPr>
              <w:t>有专门搁架，用毕立即切断电源</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szCs w:val="21"/>
              </w:rPr>
              <w:t>1</w:t>
            </w:r>
            <w:r>
              <w:rPr>
                <w:rFonts w:hint="eastAsia"/>
                <w:szCs w:val="21"/>
                <w:lang w:val="en-US" w:eastAsia="zh-CN"/>
              </w:rPr>
              <w:t>0</w:t>
            </w:r>
            <w:r>
              <w:rPr>
                <w:rFonts w:hint="eastAsia"/>
                <w:szCs w:val="21"/>
              </w:rPr>
              <w:t>.3.12</w:t>
            </w:r>
          </w:p>
        </w:tc>
        <w:tc>
          <w:tcPr>
            <w:tcW w:w="4620" w:type="dxa"/>
            <w:gridSpan w:val="2"/>
            <w:shd w:val="clear" w:color="auto" w:fill="auto"/>
            <w:tcMar>
              <w:left w:w="45" w:type="dxa"/>
              <w:right w:w="45" w:type="dxa"/>
            </w:tcMar>
            <w:vAlign w:val="center"/>
          </w:tcPr>
          <w:p>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rFonts w:hint="eastAsia"/>
                <w:kern w:val="0"/>
                <w:szCs w:val="21"/>
              </w:rPr>
            </w:pPr>
            <w:r>
              <w:rPr>
                <w:rFonts w:hint="eastAsia"/>
                <w:b/>
                <w:kern w:val="0"/>
                <w:szCs w:val="21"/>
              </w:rPr>
              <w:t>1</w:t>
            </w:r>
            <w:r>
              <w:rPr>
                <w:rFonts w:hint="eastAsia"/>
                <w:b/>
                <w:kern w:val="0"/>
                <w:szCs w:val="21"/>
                <w:lang w:val="en-US" w:eastAsia="zh-CN"/>
              </w:rPr>
              <w:t>0</w:t>
            </w:r>
            <w:r>
              <w:rPr>
                <w:rFonts w:hint="eastAsia"/>
                <w:b/>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bCs/>
                <w:kern w:val="0"/>
                <w:szCs w:val="21"/>
              </w:rPr>
            </w:pPr>
            <w:r>
              <w:rPr>
                <w:rFonts w:ascii="宋体" w:hAnsi="宋体" w:cs="宋体"/>
                <w:b/>
                <w:kern w:val="0"/>
                <w:szCs w:val="21"/>
              </w:rPr>
              <w:t>激光安全</w:t>
            </w:r>
          </w:p>
        </w:tc>
        <w:tc>
          <w:tcPr>
            <w:tcW w:w="2287" w:type="dxa"/>
            <w:shd w:val="clear" w:color="auto" w:fill="auto"/>
            <w:tcMar>
              <w:left w:w="45" w:type="dxa"/>
              <w:right w:w="45" w:type="dxa"/>
            </w:tcMar>
            <w:vAlign w:val="center"/>
          </w:tcPr>
          <w:p>
            <w:pPr>
              <w:widowControl/>
              <w:spacing w:line="300" w:lineRule="exact"/>
              <w:jc w:val="left"/>
              <w:rPr>
                <w:rFonts w:hint="eastAsia"/>
                <w:bCs/>
                <w:kern w:val="0"/>
                <w:szCs w:val="21"/>
              </w:rPr>
            </w:pP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.4.1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bCs/>
                <w:kern w:val="0"/>
                <w:szCs w:val="21"/>
              </w:rPr>
              <w:t>有激光器的安全使用方法，有激光危害标识</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.4.2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.4.3</w:t>
            </w:r>
          </w:p>
        </w:tc>
        <w:tc>
          <w:tcPr>
            <w:tcW w:w="4620" w:type="dxa"/>
            <w:gridSpan w:val="2"/>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检查护具、提示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.4.</w:t>
            </w:r>
            <w:r>
              <w:rPr>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bCs/>
                <w:kern w:val="0"/>
                <w:szCs w:val="21"/>
              </w:rPr>
            </w:pP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w:t>
            </w:r>
            <w:r>
              <w:rPr>
                <w:rFonts w:hint="eastAsia"/>
                <w:b/>
                <w:kern w:val="0"/>
                <w:szCs w:val="21"/>
                <w:lang w:val="en-US" w:eastAsia="zh-CN"/>
              </w:rPr>
              <w:t>0</w:t>
            </w:r>
            <w:r>
              <w:rPr>
                <w:rFonts w:hint="eastAsia"/>
                <w:b/>
                <w:kern w:val="0"/>
                <w:szCs w:val="21"/>
              </w:rPr>
              <w:t>.5</w:t>
            </w:r>
          </w:p>
        </w:tc>
        <w:tc>
          <w:tcPr>
            <w:tcW w:w="4620" w:type="dxa"/>
            <w:gridSpan w:val="2"/>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c>
          <w:tcPr>
            <w:tcW w:w="2287" w:type="dxa"/>
            <w:shd w:val="clear" w:color="auto" w:fill="auto"/>
            <w:tcMar>
              <w:left w:w="45" w:type="dxa"/>
              <w:right w:w="45" w:type="dxa"/>
            </w:tcMar>
            <w:vAlign w:val="center"/>
          </w:tcPr>
          <w:p>
            <w:pPr>
              <w:widowControl/>
              <w:spacing w:line="300" w:lineRule="exact"/>
              <w:jc w:val="left"/>
              <w:rPr>
                <w:rFonts w:ascii="宋体" w:hAnsi="宋体" w:cs="宋体"/>
                <w:b/>
                <w:kern w:val="0"/>
                <w:szCs w:val="21"/>
              </w:rPr>
            </w:pPr>
          </w:p>
        </w:tc>
        <w:tc>
          <w:tcPr>
            <w:tcW w:w="420" w:type="dxa"/>
            <w:shd w:val="clear" w:color="auto" w:fill="auto"/>
            <w:tcMar>
              <w:left w:w="45" w:type="dxa"/>
              <w:right w:w="45" w:type="dxa"/>
            </w:tcMar>
            <w:vAlign w:val="center"/>
          </w:tcPr>
          <w:p>
            <w:pPr>
              <w:widowControl/>
              <w:spacing w:line="300" w:lineRule="exact"/>
              <w:jc w:val="left"/>
              <w:rPr>
                <w:rFonts w:ascii="宋体" w:hAnsi="宋体" w:cs="宋体"/>
                <w:b/>
                <w:kern w:val="0"/>
                <w:szCs w:val="21"/>
              </w:rPr>
            </w:pPr>
          </w:p>
        </w:tc>
        <w:tc>
          <w:tcPr>
            <w:tcW w:w="417" w:type="dxa"/>
            <w:shd w:val="clear" w:color="auto" w:fill="auto"/>
            <w:tcMar>
              <w:left w:w="45" w:type="dxa"/>
              <w:right w:w="45" w:type="dxa"/>
            </w:tcMar>
            <w:vAlign w:val="center"/>
          </w:tcPr>
          <w:p>
            <w:pPr>
              <w:widowControl/>
              <w:spacing w:line="300" w:lineRule="exact"/>
              <w:jc w:val="left"/>
              <w:rPr>
                <w:rFonts w:ascii="宋体" w:hAnsi="宋体" w:cs="宋体"/>
                <w:b/>
                <w:kern w:val="0"/>
                <w:szCs w:val="21"/>
              </w:rPr>
            </w:pPr>
          </w:p>
        </w:tc>
        <w:tc>
          <w:tcPr>
            <w:tcW w:w="513" w:type="dxa"/>
            <w:shd w:val="clear" w:color="auto" w:fill="auto"/>
            <w:tcMar>
              <w:left w:w="45" w:type="dxa"/>
              <w:right w:w="45" w:type="dxa"/>
            </w:tcMar>
            <w:vAlign w:val="center"/>
          </w:tcPr>
          <w:p>
            <w:pPr>
              <w:widowControl/>
              <w:spacing w:line="300" w:lineRule="exact"/>
              <w:jc w:val="left"/>
              <w:rPr>
                <w:rFonts w:ascii="宋体" w:hAnsi="宋体" w:cs="宋体"/>
                <w:b/>
                <w:kern w:val="0"/>
                <w:szCs w:val="21"/>
              </w:rPr>
            </w:pPr>
          </w:p>
        </w:tc>
        <w:tc>
          <w:tcPr>
            <w:tcW w:w="1980" w:type="dxa"/>
            <w:shd w:val="clear" w:color="auto" w:fill="auto"/>
            <w:tcMar>
              <w:left w:w="45" w:type="dxa"/>
              <w:right w:w="45" w:type="dxa"/>
            </w:tcMar>
            <w:vAlign w:val="center"/>
          </w:tcPr>
          <w:p>
            <w:pPr>
              <w:widowControl/>
              <w:spacing w:line="300" w:lineRule="exact"/>
              <w:jc w:val="left"/>
              <w:rPr>
                <w:rFonts w:ascii="宋体" w:hAnsi="宋体" w:cs="宋体"/>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ascii="宋体" w:hAnsi="宋体" w:cs="宋体"/>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.5.1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.5.2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.5.3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.5.4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0</w:t>
            </w:r>
            <w:r>
              <w:rPr>
                <w:rFonts w:hint="eastAsia"/>
                <w:kern w:val="0"/>
                <w:szCs w:val="21"/>
              </w:rPr>
              <w:t>.5.5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配备与粉尘相适应的灭火装置，禁用干粉、水剂型和泡沫型灭火器</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.5.6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实验人员必须遵守安全操作规程，及时保养粉尘设施</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kern w:val="0"/>
                <w:szCs w:val="21"/>
              </w:rPr>
              <w:t>1</w:t>
            </w:r>
            <w:r>
              <w:rPr>
                <w:rFonts w:hint="eastAsia"/>
                <w:kern w:val="0"/>
                <w:szCs w:val="21"/>
                <w:lang w:val="en-US" w:eastAsia="zh-CN"/>
              </w:rPr>
              <w:t>0</w:t>
            </w:r>
            <w:r>
              <w:rPr>
                <w:rFonts w:hint="eastAsia"/>
                <w:kern w:val="0"/>
                <w:szCs w:val="21"/>
              </w:rPr>
              <w:t>.5.7</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保证实验室（车间）粉尘浓度在爆炸下限以下</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粮食粉尘爆炸下限为40--200g/m</w:t>
            </w:r>
            <w:r>
              <w:rPr>
                <w:rFonts w:hint="eastAsia"/>
                <w:kern w:val="0"/>
                <w:szCs w:val="21"/>
                <w:vertAlign w:val="superscript"/>
              </w:rPr>
              <w:t>3</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spacing w:line="300" w:lineRule="exact"/>
              <w:rPr>
                <w:szCs w:val="21"/>
              </w:rPr>
            </w:pPr>
            <w:r>
              <w:rPr>
                <w:rFonts w:hint="eastAsia"/>
                <w:szCs w:val="21"/>
              </w:rPr>
              <w:t>1</w:t>
            </w:r>
            <w:r>
              <w:rPr>
                <w:rFonts w:hint="eastAsia"/>
                <w:szCs w:val="21"/>
                <w:lang w:val="en-US" w:eastAsia="zh-CN"/>
              </w:rPr>
              <w:t>0</w:t>
            </w:r>
            <w:r>
              <w:rPr>
                <w:rFonts w:hint="eastAsia"/>
                <w:szCs w:val="21"/>
              </w:rPr>
              <w:t>.5.8</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粉尘浓度较高的场所，有加湿装置（喷雾）使湿度在65%以上</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r>
              <w:rPr>
                <w:rFonts w:hint="eastAsia"/>
                <w:b/>
                <w:kern w:val="0"/>
                <w:szCs w:val="21"/>
                <w:lang w:val="en-US" w:eastAsia="zh-CN"/>
              </w:rPr>
              <w:t>1</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w:t>
            </w:r>
            <w:r>
              <w:rPr>
                <w:rFonts w:hint="eastAsia"/>
                <w:b/>
                <w:kern w:val="0"/>
                <w:szCs w:val="21"/>
                <w:lang w:val="en-US" w:eastAsia="zh-CN"/>
              </w:rPr>
              <w:t>1</w:t>
            </w:r>
            <w:r>
              <w:rPr>
                <w:rFonts w:hint="eastAsia"/>
                <w:b/>
                <w:kern w:val="0"/>
                <w:szCs w:val="21"/>
              </w:rPr>
              <w:t>.1</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.1</w:t>
            </w:r>
            <w:r>
              <w:rPr>
                <w:kern w:val="0"/>
                <w:szCs w:val="21"/>
              </w:rPr>
              <w:t>.1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额定起重量大于等于3t且提升高度大于等于2m的起重设备</w:t>
            </w:r>
            <w:r>
              <w:rPr>
                <w:kern w:val="0"/>
                <w:szCs w:val="21"/>
              </w:rPr>
              <w:t>，</w:t>
            </w:r>
            <w:r>
              <w:rPr>
                <w:rFonts w:hint="eastAsia"/>
                <w:kern w:val="0"/>
                <w:szCs w:val="21"/>
              </w:rPr>
              <w:t>须取得《特种设备使用登记证》</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.1</w:t>
            </w:r>
            <w:r>
              <w:rPr>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，并每4年复审一次</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证书是否在有效期</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.1</w:t>
            </w:r>
            <w:r>
              <w:rPr>
                <w:kern w:val="0"/>
                <w:szCs w:val="21"/>
              </w:rPr>
              <w:t>.3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2287"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合格证是否在有效期内</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.1</w:t>
            </w:r>
            <w:r>
              <w:rPr>
                <w:kern w:val="0"/>
                <w:szCs w:val="21"/>
              </w:rPr>
              <w:t>.</w:t>
            </w:r>
            <w:r>
              <w:rPr>
                <w:rFonts w:hint="eastAsia"/>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.1</w:t>
            </w:r>
            <w:r>
              <w:rPr>
                <w:kern w:val="0"/>
                <w:szCs w:val="21"/>
              </w:rPr>
              <w:t>.</w:t>
            </w:r>
            <w:r>
              <w:rPr>
                <w:rFonts w:hint="eastAsia"/>
                <w:kern w:val="0"/>
                <w:szCs w:val="21"/>
              </w:rPr>
              <w:t>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制定安全操作规程，并在周边醒目位置张贴警示标识，有必要的防护措施</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.1.6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起重设备声光报警正常，室内起重设备要标有运行通道</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试验</w:t>
            </w:r>
            <w:r>
              <w:rPr>
                <w:kern w:val="0"/>
                <w:szCs w:val="21"/>
              </w:rPr>
              <w:t>声光报警器</w:t>
            </w:r>
          </w:p>
        </w:tc>
        <w:tc>
          <w:tcPr>
            <w:tcW w:w="420" w:type="dxa"/>
            <w:tcMar>
              <w:left w:w="45" w:type="dxa"/>
              <w:right w:w="45" w:type="dxa"/>
            </w:tcMar>
            <w:vAlign w:val="center"/>
          </w:tcPr>
          <w:p>
            <w:pPr>
              <w:widowControl/>
              <w:spacing w:line="300" w:lineRule="exact"/>
              <w:jc w:val="center"/>
              <w:rPr>
                <w:b/>
                <w:bCs/>
                <w:kern w:val="0"/>
                <w:szCs w:val="21"/>
              </w:rPr>
            </w:pPr>
          </w:p>
        </w:tc>
        <w:tc>
          <w:tcPr>
            <w:tcW w:w="417" w:type="dxa"/>
            <w:vAlign w:val="center"/>
          </w:tcPr>
          <w:p>
            <w:pPr>
              <w:widowControl/>
              <w:spacing w:line="300" w:lineRule="exact"/>
              <w:jc w:val="center"/>
              <w:rPr>
                <w:b/>
                <w:bCs/>
                <w:kern w:val="0"/>
                <w:szCs w:val="21"/>
              </w:rPr>
            </w:pPr>
          </w:p>
        </w:tc>
        <w:tc>
          <w:tcPr>
            <w:tcW w:w="513" w:type="dxa"/>
            <w:vAlign w:val="center"/>
          </w:tcPr>
          <w:p>
            <w:pPr>
              <w:widowControl/>
              <w:spacing w:line="300" w:lineRule="exact"/>
              <w:jc w:val="center"/>
              <w:rPr>
                <w:b/>
                <w:bCs/>
                <w:kern w:val="0"/>
                <w:szCs w:val="21"/>
              </w:rPr>
            </w:pPr>
          </w:p>
        </w:tc>
        <w:tc>
          <w:tcPr>
            <w:tcW w:w="1980" w:type="dxa"/>
            <w:vAlign w:val="center"/>
          </w:tcPr>
          <w:p>
            <w:pPr>
              <w:widowControl/>
              <w:spacing w:line="300" w:lineRule="exact"/>
              <w:jc w:val="center"/>
              <w:rPr>
                <w:b/>
                <w:bCs/>
                <w:kern w:val="0"/>
                <w:szCs w:val="21"/>
              </w:rPr>
            </w:pPr>
          </w:p>
        </w:tc>
        <w:tc>
          <w:tcPr>
            <w:tcW w:w="1200" w:type="dxa"/>
            <w:gridSpan w:val="2"/>
            <w:vAlign w:val="center"/>
          </w:tcPr>
          <w:p>
            <w:pPr>
              <w:widowControl/>
              <w:spacing w:line="300" w:lineRule="exact"/>
              <w:jc w:val="center"/>
              <w:rPr>
                <w:b/>
                <w:bCs/>
                <w:kern w:val="0"/>
                <w:szCs w:val="21"/>
              </w:rPr>
            </w:pPr>
          </w:p>
        </w:tc>
        <w:tc>
          <w:tcPr>
            <w:tcW w:w="1110" w:type="dxa"/>
            <w:gridSpan w:val="2"/>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w:t>
            </w:r>
            <w:r>
              <w:rPr>
                <w:rFonts w:hint="eastAsia"/>
                <w:b/>
                <w:kern w:val="0"/>
                <w:szCs w:val="21"/>
                <w:lang w:val="en-US" w:eastAsia="zh-CN"/>
              </w:rPr>
              <w:t>1</w:t>
            </w:r>
            <w:r>
              <w:rPr>
                <w:rFonts w:hint="eastAsia"/>
                <w:b/>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.2</w:t>
            </w:r>
            <w:r>
              <w:rPr>
                <w:kern w:val="0"/>
                <w:szCs w:val="21"/>
              </w:rPr>
              <w:t>.1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设备铭牌上标明为简单压力容器不需办理</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.2</w:t>
            </w:r>
            <w:r>
              <w:rPr>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《特种设备作业人员证》是否在有效期</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.2</w:t>
            </w:r>
            <w:r>
              <w:rPr>
                <w:kern w:val="0"/>
                <w:szCs w:val="21"/>
              </w:rPr>
              <w:t>.3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2287"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合格证是否在有效期内</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.2</w:t>
            </w:r>
            <w:r>
              <w:rPr>
                <w:kern w:val="0"/>
                <w:szCs w:val="21"/>
              </w:rPr>
              <w:t>.</w:t>
            </w:r>
            <w:r>
              <w:rPr>
                <w:rFonts w:hint="eastAsia"/>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安全阀或压力表等附件需委托有资质单位定期校验或检定</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.2</w:t>
            </w:r>
            <w:r>
              <w:rPr>
                <w:kern w:val="0"/>
                <w:szCs w:val="21"/>
              </w:rPr>
              <w:t>.</w:t>
            </w:r>
            <w:r>
              <w:rPr>
                <w:rFonts w:hint="eastAsia"/>
                <w:kern w:val="0"/>
                <w:szCs w:val="21"/>
              </w:rPr>
              <w:t>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新的证书</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2.7</w:t>
            </w:r>
          </w:p>
        </w:tc>
        <w:tc>
          <w:tcPr>
            <w:tcW w:w="4620" w:type="dxa"/>
            <w:gridSpan w:val="2"/>
            <w:shd w:val="clear" w:color="auto" w:fill="auto"/>
            <w:tcMar>
              <w:left w:w="45" w:type="dxa"/>
              <w:right w:w="45" w:type="dxa"/>
            </w:tcMar>
            <w:vAlign w:val="center"/>
          </w:tcPr>
          <w:p>
            <w:pPr>
              <w:spacing w:line="300" w:lineRule="exact"/>
              <w:rPr>
                <w:kern w:val="0"/>
                <w:szCs w:val="21"/>
              </w:rPr>
            </w:pPr>
            <w:r>
              <w:rPr>
                <w:rFonts w:hint="eastAsia"/>
                <w:kern w:val="0"/>
                <w:szCs w:val="21"/>
              </w:rPr>
              <w:t>大型实验气体（窒息、可燃类）罐必须放置在室外，周围设置隔离装置、安全警示标识</w:t>
            </w:r>
          </w:p>
        </w:tc>
        <w:tc>
          <w:tcPr>
            <w:tcW w:w="2287"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有隔离装置，坚固牢靠</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2.8</w:t>
            </w:r>
          </w:p>
        </w:tc>
        <w:tc>
          <w:tcPr>
            <w:tcW w:w="4620" w:type="dxa"/>
            <w:gridSpan w:val="2"/>
            <w:shd w:val="clear" w:color="auto" w:fill="auto"/>
            <w:tcMar>
              <w:left w:w="45" w:type="dxa"/>
              <w:right w:w="45" w:type="dxa"/>
            </w:tcMar>
            <w:vAlign w:val="center"/>
          </w:tcPr>
          <w:p>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2287"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可燃性性</w:t>
            </w:r>
            <w:r>
              <w:rPr>
                <w:kern w:val="0"/>
                <w:szCs w:val="21"/>
              </w:rPr>
              <w:t>气罐远离火源热源</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2.9</w:t>
            </w:r>
          </w:p>
        </w:tc>
        <w:tc>
          <w:tcPr>
            <w:tcW w:w="4620" w:type="dxa"/>
            <w:gridSpan w:val="2"/>
            <w:shd w:val="clear" w:color="auto" w:fill="auto"/>
            <w:tcMar>
              <w:left w:w="45" w:type="dxa"/>
              <w:right w:w="45" w:type="dxa"/>
            </w:tcMar>
            <w:vAlign w:val="center"/>
          </w:tcPr>
          <w:p>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2287"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电气设施是否防爆，避雷装置是否接地</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2.10</w:t>
            </w:r>
          </w:p>
        </w:tc>
        <w:tc>
          <w:tcPr>
            <w:tcW w:w="4620" w:type="dxa"/>
            <w:gridSpan w:val="2"/>
            <w:shd w:val="clear" w:color="auto" w:fill="auto"/>
            <w:tcMar>
              <w:left w:w="45" w:type="dxa"/>
              <w:right w:w="45" w:type="dxa"/>
            </w:tcMar>
            <w:vAlign w:val="center"/>
          </w:tcPr>
          <w:p>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2287"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2.11</w:t>
            </w:r>
          </w:p>
        </w:tc>
        <w:tc>
          <w:tcPr>
            <w:tcW w:w="4620" w:type="dxa"/>
            <w:gridSpan w:val="2"/>
            <w:shd w:val="clear" w:color="auto" w:fill="auto"/>
            <w:tcMar>
              <w:left w:w="45" w:type="dxa"/>
              <w:right w:w="45" w:type="dxa"/>
            </w:tcMar>
            <w:vAlign w:val="center"/>
          </w:tcPr>
          <w:p>
            <w:pPr>
              <w:spacing w:line="300" w:lineRule="exact"/>
              <w:rPr>
                <w:kern w:val="0"/>
                <w:szCs w:val="21"/>
              </w:rPr>
            </w:pPr>
            <w:r>
              <w:rPr>
                <w:rFonts w:hint="eastAsia"/>
                <w:kern w:val="0"/>
                <w:szCs w:val="21"/>
              </w:rPr>
              <w:t xml:space="preserve">实行使用登记制度，及时填写“使用登记表” </w:t>
            </w:r>
          </w:p>
        </w:tc>
        <w:tc>
          <w:tcPr>
            <w:tcW w:w="2287"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使用登记表内容完整</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2.12</w:t>
            </w:r>
          </w:p>
        </w:tc>
        <w:tc>
          <w:tcPr>
            <w:tcW w:w="4620" w:type="dxa"/>
            <w:gridSpan w:val="2"/>
            <w:shd w:val="clear" w:color="auto" w:fill="auto"/>
            <w:tcMar>
              <w:left w:w="45" w:type="dxa"/>
              <w:right w:w="45" w:type="dxa"/>
            </w:tcMar>
            <w:vAlign w:val="center"/>
          </w:tcPr>
          <w:p>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2287"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有检查表记录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w:t>
            </w:r>
            <w:r>
              <w:rPr>
                <w:rFonts w:hint="eastAsia"/>
                <w:b/>
                <w:kern w:val="0"/>
                <w:szCs w:val="21"/>
                <w:lang w:val="en-US" w:eastAsia="zh-CN"/>
              </w:rPr>
              <w:t>1</w:t>
            </w:r>
            <w:r>
              <w:rPr>
                <w:rFonts w:hint="eastAsia"/>
                <w:b/>
                <w:kern w:val="0"/>
                <w:szCs w:val="21"/>
              </w:rPr>
              <w:t>.3</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c>
          <w:tcPr>
            <w:tcW w:w="228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2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417"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513"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980" w:type="dxa"/>
            <w:shd w:val="clear" w:color="auto" w:fill="auto"/>
            <w:tcMar>
              <w:left w:w="45" w:type="dxa"/>
              <w:right w:w="45" w:type="dxa"/>
            </w:tcMar>
            <w:vAlign w:val="center"/>
          </w:tcPr>
          <w:p>
            <w:pPr>
              <w:widowControl/>
              <w:spacing w:line="300" w:lineRule="exact"/>
              <w:jc w:val="left"/>
              <w:rPr>
                <w:rFonts w:hint="eastAsia"/>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.3</w:t>
            </w:r>
            <w:r>
              <w:rPr>
                <w:kern w:val="0"/>
                <w:szCs w:val="21"/>
              </w:rPr>
              <w:t>.1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2287" w:type="dxa"/>
            <w:shd w:val="clear" w:color="auto" w:fill="auto"/>
            <w:tcMar>
              <w:left w:w="45" w:type="dxa"/>
              <w:right w:w="45" w:type="dxa"/>
            </w:tcMar>
            <w:vAlign w:val="center"/>
          </w:tcPr>
          <w:p>
            <w:pPr>
              <w:widowControl/>
              <w:spacing w:line="300" w:lineRule="exact"/>
              <w:jc w:val="left"/>
              <w:rPr>
                <w:kern w:val="0"/>
                <w:szCs w:val="21"/>
              </w:rPr>
            </w:pP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center"/>
              <w:rPr>
                <w:bCs/>
                <w:kern w:val="0"/>
                <w:szCs w:val="21"/>
              </w:rPr>
            </w:pPr>
          </w:p>
        </w:tc>
        <w:tc>
          <w:tcPr>
            <w:tcW w:w="1200" w:type="dxa"/>
            <w:gridSpan w:val="2"/>
            <w:vAlign w:val="center"/>
          </w:tcPr>
          <w:p>
            <w:pPr>
              <w:widowControl/>
              <w:spacing w:line="300" w:lineRule="exact"/>
              <w:jc w:val="center"/>
              <w:rPr>
                <w:bCs/>
                <w:kern w:val="0"/>
                <w:szCs w:val="21"/>
              </w:rPr>
            </w:pPr>
          </w:p>
        </w:tc>
        <w:tc>
          <w:tcPr>
            <w:tcW w:w="1110" w:type="dxa"/>
            <w:gridSpan w:val="2"/>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lang w:val="en-US" w:eastAsia="zh-CN"/>
              </w:rPr>
              <w:t>11</w:t>
            </w:r>
            <w:r>
              <w:rPr>
                <w:rFonts w:hint="eastAsia"/>
                <w:kern w:val="0"/>
                <w:szCs w:val="21"/>
              </w:rPr>
              <w:t>.3</w:t>
            </w:r>
            <w:r>
              <w:rPr>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2287"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center"/>
              <w:rPr>
                <w:bCs/>
                <w:kern w:val="0"/>
                <w:szCs w:val="21"/>
              </w:rPr>
            </w:pPr>
          </w:p>
        </w:tc>
        <w:tc>
          <w:tcPr>
            <w:tcW w:w="1200" w:type="dxa"/>
            <w:gridSpan w:val="2"/>
            <w:vAlign w:val="center"/>
          </w:tcPr>
          <w:p>
            <w:pPr>
              <w:widowControl/>
              <w:spacing w:line="300" w:lineRule="exact"/>
              <w:jc w:val="center"/>
              <w:rPr>
                <w:bCs/>
                <w:kern w:val="0"/>
                <w:szCs w:val="21"/>
              </w:rPr>
            </w:pPr>
          </w:p>
        </w:tc>
        <w:tc>
          <w:tcPr>
            <w:tcW w:w="1110" w:type="dxa"/>
            <w:gridSpan w:val="2"/>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.3</w:t>
            </w:r>
            <w:r>
              <w:rPr>
                <w:kern w:val="0"/>
                <w:szCs w:val="21"/>
              </w:rPr>
              <w:t>.3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center"/>
              <w:rPr>
                <w:bCs/>
                <w:kern w:val="0"/>
                <w:szCs w:val="21"/>
              </w:rPr>
            </w:pPr>
          </w:p>
        </w:tc>
        <w:tc>
          <w:tcPr>
            <w:tcW w:w="1200" w:type="dxa"/>
            <w:gridSpan w:val="2"/>
            <w:vAlign w:val="center"/>
          </w:tcPr>
          <w:p>
            <w:pPr>
              <w:widowControl/>
              <w:spacing w:line="300" w:lineRule="exact"/>
              <w:jc w:val="center"/>
              <w:rPr>
                <w:bCs/>
                <w:kern w:val="0"/>
                <w:szCs w:val="21"/>
              </w:rPr>
            </w:pPr>
          </w:p>
        </w:tc>
        <w:tc>
          <w:tcPr>
            <w:tcW w:w="1110" w:type="dxa"/>
            <w:gridSpan w:val="2"/>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r>
              <w:rPr>
                <w:rFonts w:hint="eastAsia"/>
                <w:b/>
                <w:kern w:val="0"/>
                <w:szCs w:val="21"/>
                <w:lang w:val="en-US" w:eastAsia="zh-CN"/>
              </w:rPr>
              <w:t>1</w:t>
            </w:r>
            <w:r>
              <w:rPr>
                <w:b/>
                <w:kern w:val="0"/>
                <w:szCs w:val="21"/>
              </w:rPr>
              <w:t>.</w:t>
            </w:r>
            <w:r>
              <w:rPr>
                <w:rFonts w:hint="eastAsia"/>
                <w:b/>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b/>
                <w:kern w:val="0"/>
                <w:szCs w:val="21"/>
              </w:rPr>
            </w:pPr>
            <w:r>
              <w:rPr>
                <w:b/>
                <w:kern w:val="0"/>
                <w:szCs w:val="21"/>
              </w:rPr>
              <w:t>冰箱管理</w:t>
            </w:r>
          </w:p>
        </w:tc>
        <w:tc>
          <w:tcPr>
            <w:tcW w:w="2287" w:type="dxa"/>
            <w:shd w:val="clear" w:color="auto" w:fill="auto"/>
            <w:tcMar>
              <w:left w:w="45" w:type="dxa"/>
              <w:right w:w="45" w:type="dxa"/>
            </w:tcMar>
            <w:vAlign w:val="center"/>
          </w:tcPr>
          <w:p>
            <w:pPr>
              <w:widowControl/>
              <w:spacing w:line="300" w:lineRule="exact"/>
              <w:jc w:val="left"/>
              <w:rPr>
                <w:b/>
                <w:kern w:val="0"/>
                <w:szCs w:val="21"/>
              </w:rPr>
            </w:pPr>
          </w:p>
        </w:tc>
        <w:tc>
          <w:tcPr>
            <w:tcW w:w="420" w:type="dxa"/>
            <w:shd w:val="clear" w:color="auto" w:fill="auto"/>
            <w:tcMar>
              <w:left w:w="45" w:type="dxa"/>
              <w:right w:w="45" w:type="dxa"/>
            </w:tcMar>
            <w:vAlign w:val="center"/>
          </w:tcPr>
          <w:p>
            <w:pPr>
              <w:widowControl/>
              <w:spacing w:line="300" w:lineRule="exact"/>
              <w:jc w:val="left"/>
              <w:rPr>
                <w:b/>
                <w:kern w:val="0"/>
                <w:szCs w:val="21"/>
              </w:rPr>
            </w:pPr>
          </w:p>
        </w:tc>
        <w:tc>
          <w:tcPr>
            <w:tcW w:w="417" w:type="dxa"/>
            <w:shd w:val="clear" w:color="auto" w:fill="auto"/>
            <w:tcMar>
              <w:left w:w="45" w:type="dxa"/>
              <w:right w:w="45" w:type="dxa"/>
            </w:tcMar>
            <w:vAlign w:val="center"/>
          </w:tcPr>
          <w:p>
            <w:pPr>
              <w:widowControl/>
              <w:spacing w:line="300" w:lineRule="exact"/>
              <w:jc w:val="left"/>
              <w:rPr>
                <w:b/>
                <w:kern w:val="0"/>
                <w:szCs w:val="21"/>
              </w:rPr>
            </w:pPr>
          </w:p>
        </w:tc>
        <w:tc>
          <w:tcPr>
            <w:tcW w:w="513" w:type="dxa"/>
            <w:shd w:val="clear" w:color="auto" w:fill="auto"/>
            <w:tcMar>
              <w:left w:w="45" w:type="dxa"/>
              <w:right w:w="45" w:type="dxa"/>
            </w:tcMar>
            <w:vAlign w:val="center"/>
          </w:tcPr>
          <w:p>
            <w:pPr>
              <w:widowControl/>
              <w:spacing w:line="300" w:lineRule="exact"/>
              <w:jc w:val="left"/>
              <w:rPr>
                <w:b/>
                <w:kern w:val="0"/>
                <w:szCs w:val="21"/>
              </w:rPr>
            </w:pPr>
          </w:p>
        </w:tc>
        <w:tc>
          <w:tcPr>
            <w:tcW w:w="1980" w:type="dxa"/>
            <w:shd w:val="clear" w:color="auto" w:fill="auto"/>
            <w:tcMar>
              <w:left w:w="45" w:type="dxa"/>
              <w:right w:w="45" w:type="dxa"/>
            </w:tcMar>
            <w:vAlign w:val="center"/>
          </w:tcPr>
          <w:p>
            <w:pPr>
              <w:widowControl/>
              <w:spacing w:line="300" w:lineRule="exact"/>
              <w:jc w:val="left"/>
              <w:rPr>
                <w:b/>
                <w:kern w:val="0"/>
                <w:szCs w:val="21"/>
              </w:rPr>
            </w:pPr>
          </w:p>
        </w:tc>
        <w:tc>
          <w:tcPr>
            <w:tcW w:w="1200" w:type="dxa"/>
            <w:gridSpan w:val="2"/>
            <w:shd w:val="clear" w:color="auto" w:fill="auto"/>
            <w:tcMar>
              <w:left w:w="45" w:type="dxa"/>
              <w:right w:w="45" w:type="dxa"/>
            </w:tcMar>
            <w:vAlign w:val="center"/>
          </w:tcPr>
          <w:p>
            <w:pPr>
              <w:widowControl/>
              <w:spacing w:line="300" w:lineRule="exact"/>
              <w:jc w:val="left"/>
              <w:rPr>
                <w:b/>
                <w:kern w:val="0"/>
                <w:szCs w:val="21"/>
              </w:rPr>
            </w:pPr>
          </w:p>
        </w:tc>
        <w:tc>
          <w:tcPr>
            <w:tcW w:w="1110" w:type="dxa"/>
            <w:gridSpan w:val="2"/>
            <w:shd w:val="clear" w:color="auto" w:fill="auto"/>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4.1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4.2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冰箱内存放的物品必须标识明确（包括品名、使用人、日期等），并经常清理，有清理记录</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查看冰箱及</w:t>
            </w:r>
            <w:r>
              <w:rPr>
                <w:kern w:val="0"/>
                <w:szCs w:val="21"/>
              </w:rPr>
              <w:t>清理记录</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4.3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冰箱内储存试剂必须密封好</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螺口拧紧，无开口容器</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4.</w:t>
            </w:r>
            <w:r>
              <w:rPr>
                <w:rFonts w:hint="eastAsia"/>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4.</w:t>
            </w:r>
            <w:r>
              <w:rPr>
                <w:rFonts w:hint="eastAsia"/>
                <w:kern w:val="0"/>
                <w:szCs w:val="21"/>
              </w:rPr>
              <w:t>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出10cm</w:t>
            </w:r>
            <w:r>
              <w:rPr>
                <w:rFonts w:hint="eastAsia"/>
                <w:kern w:val="0"/>
                <w:szCs w:val="21"/>
              </w:rPr>
              <w:t>，</w:t>
            </w:r>
            <w:r>
              <w:rPr>
                <w:kern w:val="0"/>
                <w:szCs w:val="21"/>
              </w:rPr>
              <w:t>上部最少30cm的距离</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4.</w:t>
            </w:r>
            <w:r>
              <w:rPr>
                <w:rFonts w:hint="eastAsia"/>
                <w:kern w:val="0"/>
                <w:szCs w:val="21"/>
              </w:rPr>
              <w:t>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实验室冰箱中不放置食品</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实验区和办公生活区严格区分</w:t>
            </w:r>
          </w:p>
        </w:tc>
        <w:tc>
          <w:tcPr>
            <w:tcW w:w="420" w:type="dxa"/>
            <w:tcMar>
              <w:left w:w="45" w:type="dxa"/>
              <w:right w:w="45" w:type="dxa"/>
            </w:tcMar>
            <w:vAlign w:val="center"/>
          </w:tcPr>
          <w:p>
            <w:pPr>
              <w:widowControl/>
              <w:spacing w:line="300" w:lineRule="exact"/>
              <w:jc w:val="center"/>
              <w:rPr>
                <w:bCs/>
                <w:kern w:val="0"/>
                <w:szCs w:val="21"/>
              </w:rPr>
            </w:pPr>
          </w:p>
        </w:tc>
        <w:tc>
          <w:tcPr>
            <w:tcW w:w="417" w:type="dxa"/>
            <w:vAlign w:val="center"/>
          </w:tcPr>
          <w:p>
            <w:pPr>
              <w:widowControl/>
              <w:spacing w:line="300" w:lineRule="exact"/>
              <w:jc w:val="center"/>
              <w:rPr>
                <w:bCs/>
                <w:kern w:val="0"/>
                <w:szCs w:val="21"/>
              </w:rPr>
            </w:pPr>
          </w:p>
        </w:tc>
        <w:tc>
          <w:tcPr>
            <w:tcW w:w="513" w:type="dxa"/>
            <w:vAlign w:val="center"/>
          </w:tcPr>
          <w:p>
            <w:pPr>
              <w:widowControl/>
              <w:spacing w:line="300" w:lineRule="exact"/>
              <w:jc w:val="center"/>
              <w:rPr>
                <w:bCs/>
                <w:kern w:val="0"/>
                <w:szCs w:val="21"/>
              </w:rPr>
            </w:pPr>
          </w:p>
        </w:tc>
        <w:tc>
          <w:tcPr>
            <w:tcW w:w="1980" w:type="dxa"/>
            <w:vAlign w:val="center"/>
          </w:tcPr>
          <w:p>
            <w:pPr>
              <w:widowControl/>
              <w:spacing w:line="300" w:lineRule="exact"/>
              <w:jc w:val="left"/>
              <w:rPr>
                <w:bCs/>
                <w:kern w:val="0"/>
                <w:szCs w:val="21"/>
              </w:rPr>
            </w:pPr>
          </w:p>
        </w:tc>
        <w:tc>
          <w:tcPr>
            <w:tcW w:w="1200" w:type="dxa"/>
            <w:gridSpan w:val="2"/>
            <w:vAlign w:val="center"/>
          </w:tcPr>
          <w:p>
            <w:pPr>
              <w:widowControl/>
              <w:spacing w:line="300" w:lineRule="exact"/>
              <w:jc w:val="left"/>
              <w:rPr>
                <w:bCs/>
                <w:kern w:val="0"/>
                <w:szCs w:val="21"/>
              </w:rPr>
            </w:pPr>
          </w:p>
        </w:tc>
        <w:tc>
          <w:tcPr>
            <w:tcW w:w="1110" w:type="dxa"/>
            <w:gridSpan w:val="2"/>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650" w:hRule="atLeast"/>
          <w:jc w:val="center"/>
        </w:trPr>
        <w:tc>
          <w:tcPr>
            <w:tcW w:w="791" w:type="dxa"/>
            <w:shd w:val="clear" w:color="auto" w:fill="auto"/>
            <w:tcMar>
              <w:left w:w="45" w:type="dxa"/>
              <w:right w:w="45" w:type="dxa"/>
            </w:tcMar>
            <w:vAlign w:val="center"/>
          </w:tcPr>
          <w:p>
            <w:pPr>
              <w:widowControl/>
              <w:spacing w:line="300" w:lineRule="exact"/>
              <w:jc w:val="left"/>
              <w:rPr>
                <w:rFonts w:hint="eastAsia"/>
                <w:kern w:val="0"/>
                <w:szCs w:val="21"/>
              </w:rPr>
            </w:pPr>
            <w:r>
              <w:rPr>
                <w:b/>
                <w:kern w:val="0"/>
                <w:szCs w:val="21"/>
              </w:rPr>
              <w:t>1</w:t>
            </w:r>
            <w:r>
              <w:rPr>
                <w:rFonts w:hint="eastAsia"/>
                <w:b/>
                <w:kern w:val="0"/>
                <w:szCs w:val="21"/>
                <w:lang w:val="en-US" w:eastAsia="zh-CN"/>
              </w:rPr>
              <w:t>1</w:t>
            </w:r>
            <w:r>
              <w:rPr>
                <w:b/>
                <w:kern w:val="0"/>
                <w:szCs w:val="21"/>
              </w:rPr>
              <w:t>.5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b/>
                <w:kern w:val="0"/>
                <w:szCs w:val="21"/>
              </w:rPr>
              <w:t>烘箱与电阻炉管理</w:t>
            </w:r>
          </w:p>
        </w:tc>
        <w:tc>
          <w:tcPr>
            <w:tcW w:w="2287" w:type="dxa"/>
            <w:shd w:val="clear" w:color="auto" w:fill="auto"/>
            <w:tcMar>
              <w:left w:w="45" w:type="dxa"/>
              <w:right w:w="45" w:type="dxa"/>
            </w:tcMar>
            <w:vAlign w:val="center"/>
          </w:tcPr>
          <w:p>
            <w:pPr>
              <w:widowControl/>
              <w:spacing w:line="300" w:lineRule="exact"/>
              <w:jc w:val="left"/>
              <w:rPr>
                <w:rFonts w:hint="eastAsia"/>
                <w:kern w:val="0"/>
                <w:szCs w:val="21"/>
              </w:rPr>
            </w:pP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095"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650"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.5</w:t>
            </w:r>
            <w:r>
              <w:rPr>
                <w:kern w:val="0"/>
                <w:szCs w:val="21"/>
              </w:rPr>
              <w:t>.1</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095"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.5</w:t>
            </w:r>
            <w:r>
              <w:rPr>
                <w:kern w:val="0"/>
                <w:szCs w:val="21"/>
              </w:rPr>
              <w:t>.2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095"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.5</w:t>
            </w:r>
            <w:r>
              <w:rPr>
                <w:kern w:val="0"/>
                <w:szCs w:val="21"/>
              </w:rPr>
              <w:t>.3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2287"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095"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.5</w:t>
            </w:r>
            <w:r>
              <w:rPr>
                <w:kern w:val="0"/>
                <w:szCs w:val="21"/>
              </w:rPr>
              <w:t>.</w:t>
            </w:r>
            <w:r>
              <w:rPr>
                <w:rFonts w:hint="eastAsia"/>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095"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.5</w:t>
            </w:r>
            <w:r>
              <w:rPr>
                <w:kern w:val="0"/>
                <w:szCs w:val="21"/>
              </w:rPr>
              <w:t>.</w:t>
            </w:r>
            <w:r>
              <w:rPr>
                <w:rFonts w:hint="eastAsia"/>
                <w:kern w:val="0"/>
                <w:szCs w:val="21"/>
              </w:rPr>
              <w:t>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张贴有安全操作规程、警示标识</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095"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.5</w:t>
            </w:r>
            <w:r>
              <w:rPr>
                <w:kern w:val="0"/>
                <w:szCs w:val="21"/>
              </w:rPr>
              <w:t>.</w:t>
            </w:r>
            <w:r>
              <w:rPr>
                <w:rFonts w:hint="eastAsia"/>
                <w:kern w:val="0"/>
                <w:szCs w:val="21"/>
              </w:rPr>
              <w:t>6</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095"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.5</w:t>
            </w:r>
            <w:r>
              <w:rPr>
                <w:kern w:val="0"/>
                <w:szCs w:val="21"/>
              </w:rPr>
              <w:t>.</w:t>
            </w:r>
            <w:r>
              <w:rPr>
                <w:rFonts w:hint="eastAsia"/>
                <w:kern w:val="0"/>
                <w:szCs w:val="21"/>
              </w:rPr>
              <w:t>7</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095"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lang w:val="en-US" w:eastAsia="zh-CN"/>
              </w:rPr>
              <w:t>1</w:t>
            </w:r>
            <w:r>
              <w:rPr>
                <w:kern w:val="0"/>
                <w:szCs w:val="21"/>
              </w:rPr>
              <w:t>.5.8</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现场、询问师生</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200" w:type="dxa"/>
            <w:gridSpan w:val="2"/>
            <w:vAlign w:val="center"/>
          </w:tcPr>
          <w:p>
            <w:pPr>
              <w:widowControl/>
              <w:spacing w:line="300" w:lineRule="exact"/>
              <w:jc w:val="left"/>
              <w:rPr>
                <w:kern w:val="0"/>
                <w:szCs w:val="21"/>
              </w:rPr>
            </w:pPr>
          </w:p>
        </w:tc>
        <w:tc>
          <w:tcPr>
            <w:tcW w:w="1095"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rFonts w:hint="eastAsia"/>
                <w:kern w:val="0"/>
                <w:szCs w:val="21"/>
              </w:rPr>
            </w:pPr>
            <w:r>
              <w:rPr>
                <w:b/>
                <w:kern w:val="0"/>
                <w:szCs w:val="21"/>
              </w:rPr>
              <w:t>1</w:t>
            </w:r>
            <w:r>
              <w:rPr>
                <w:rFonts w:hint="eastAsia"/>
                <w:b/>
                <w:kern w:val="0"/>
                <w:szCs w:val="21"/>
                <w:lang w:val="en-US" w:eastAsia="zh-CN"/>
              </w:rPr>
              <w:t>1</w:t>
            </w:r>
            <w:r>
              <w:rPr>
                <w:b/>
                <w:kern w:val="0"/>
                <w:szCs w:val="21"/>
              </w:rPr>
              <w:t>.6</w:t>
            </w:r>
          </w:p>
        </w:tc>
        <w:tc>
          <w:tcPr>
            <w:tcW w:w="4620" w:type="dxa"/>
            <w:gridSpan w:val="2"/>
            <w:shd w:val="clear" w:color="auto" w:fill="auto"/>
            <w:tcMar>
              <w:left w:w="45" w:type="dxa"/>
              <w:right w:w="45" w:type="dxa"/>
            </w:tcMar>
            <w:vAlign w:val="center"/>
          </w:tcPr>
          <w:p>
            <w:pPr>
              <w:widowControl/>
              <w:spacing w:line="300" w:lineRule="exact"/>
              <w:jc w:val="left"/>
              <w:rPr>
                <w:rFonts w:hint="eastAsia"/>
                <w:kern w:val="0"/>
                <w:szCs w:val="21"/>
              </w:rPr>
            </w:pPr>
            <w:r>
              <w:rPr>
                <w:b/>
                <w:kern w:val="0"/>
                <w:szCs w:val="21"/>
              </w:rPr>
              <w:t>明火电炉与电吹风等管理</w:t>
            </w:r>
          </w:p>
        </w:tc>
        <w:tc>
          <w:tcPr>
            <w:tcW w:w="2287" w:type="dxa"/>
            <w:shd w:val="clear" w:color="auto" w:fill="auto"/>
            <w:tcMar>
              <w:left w:w="45" w:type="dxa"/>
              <w:right w:w="45" w:type="dxa"/>
            </w:tcMar>
            <w:vAlign w:val="center"/>
          </w:tcPr>
          <w:p>
            <w:pPr>
              <w:widowControl/>
              <w:spacing w:line="300" w:lineRule="exact"/>
              <w:jc w:val="left"/>
              <w:rPr>
                <w:rFonts w:hint="eastAsia"/>
                <w:kern w:val="0"/>
                <w:szCs w:val="21"/>
              </w:rPr>
            </w:pP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182" w:type="dxa"/>
            <w:vAlign w:val="center"/>
          </w:tcPr>
          <w:p>
            <w:pPr>
              <w:widowControl/>
              <w:spacing w:line="300" w:lineRule="exact"/>
              <w:jc w:val="left"/>
              <w:rPr>
                <w:kern w:val="0"/>
                <w:szCs w:val="21"/>
              </w:rPr>
            </w:pPr>
          </w:p>
        </w:tc>
        <w:tc>
          <w:tcPr>
            <w:tcW w:w="1128" w:type="dxa"/>
            <w:gridSpan w:val="3"/>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6.1</w:t>
            </w:r>
          </w:p>
        </w:tc>
        <w:tc>
          <w:tcPr>
            <w:tcW w:w="4620" w:type="dxa"/>
            <w:gridSpan w:val="2"/>
            <w:shd w:val="clear" w:color="auto" w:fill="auto"/>
            <w:tcMar>
              <w:left w:w="45" w:type="dxa"/>
              <w:right w:w="45" w:type="dxa"/>
            </w:tcMar>
            <w:vAlign w:val="center"/>
          </w:tcPr>
          <w:p>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许可证</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182" w:type="dxa"/>
            <w:vAlign w:val="center"/>
          </w:tcPr>
          <w:p>
            <w:pPr>
              <w:widowControl/>
              <w:spacing w:line="300" w:lineRule="exact"/>
              <w:jc w:val="left"/>
              <w:rPr>
                <w:kern w:val="0"/>
                <w:szCs w:val="21"/>
              </w:rPr>
            </w:pPr>
          </w:p>
        </w:tc>
        <w:tc>
          <w:tcPr>
            <w:tcW w:w="1128" w:type="dxa"/>
            <w:gridSpan w:val="3"/>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6.2</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2287"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182" w:type="dxa"/>
            <w:vAlign w:val="center"/>
          </w:tcPr>
          <w:p>
            <w:pPr>
              <w:widowControl/>
              <w:spacing w:line="300" w:lineRule="exact"/>
              <w:jc w:val="left"/>
              <w:rPr>
                <w:kern w:val="0"/>
                <w:szCs w:val="21"/>
              </w:rPr>
            </w:pPr>
          </w:p>
        </w:tc>
        <w:tc>
          <w:tcPr>
            <w:tcW w:w="1128" w:type="dxa"/>
            <w:gridSpan w:val="3"/>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6.3</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现场、询问学生</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182" w:type="dxa"/>
            <w:vAlign w:val="center"/>
          </w:tcPr>
          <w:p>
            <w:pPr>
              <w:widowControl/>
              <w:spacing w:line="300" w:lineRule="exact"/>
              <w:jc w:val="left"/>
              <w:rPr>
                <w:kern w:val="0"/>
                <w:szCs w:val="21"/>
              </w:rPr>
            </w:pPr>
          </w:p>
        </w:tc>
        <w:tc>
          <w:tcPr>
            <w:tcW w:w="1128" w:type="dxa"/>
            <w:gridSpan w:val="3"/>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w:t>
            </w:r>
            <w:r>
              <w:rPr>
                <w:kern w:val="0"/>
                <w:szCs w:val="21"/>
              </w:rPr>
              <w:t>6.</w:t>
            </w:r>
            <w:r>
              <w:rPr>
                <w:rFonts w:hint="eastAsia"/>
                <w:kern w:val="0"/>
                <w:szCs w:val="21"/>
              </w:rPr>
              <w:t>4</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kern w:val="0"/>
                <w:szCs w:val="21"/>
              </w:rPr>
              <w:t>明火电炉、电吹风、电热枪等用毕，及时拔除电源插头</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182" w:type="dxa"/>
            <w:vAlign w:val="center"/>
          </w:tcPr>
          <w:p>
            <w:pPr>
              <w:widowControl/>
              <w:spacing w:line="300" w:lineRule="exact"/>
              <w:jc w:val="left"/>
              <w:rPr>
                <w:kern w:val="0"/>
                <w:szCs w:val="21"/>
              </w:rPr>
            </w:pPr>
          </w:p>
        </w:tc>
        <w:tc>
          <w:tcPr>
            <w:tcW w:w="1128" w:type="dxa"/>
            <w:gridSpan w:val="3"/>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91"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w:t>
            </w:r>
            <w:r>
              <w:rPr>
                <w:rFonts w:hint="eastAsia"/>
                <w:kern w:val="0"/>
                <w:szCs w:val="21"/>
                <w:lang w:val="en-US" w:eastAsia="zh-CN"/>
              </w:rPr>
              <w:t>1</w:t>
            </w:r>
            <w:r>
              <w:rPr>
                <w:rFonts w:hint="eastAsia"/>
                <w:kern w:val="0"/>
                <w:szCs w:val="21"/>
              </w:rPr>
              <w:t>.6.5</w:t>
            </w:r>
          </w:p>
        </w:tc>
        <w:tc>
          <w:tcPr>
            <w:tcW w:w="4620" w:type="dxa"/>
            <w:gridSpan w:val="2"/>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不能用纸质、木质等材料自制红外灯烘箱</w:t>
            </w:r>
          </w:p>
        </w:tc>
        <w:tc>
          <w:tcPr>
            <w:tcW w:w="2287"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0" w:type="dxa"/>
            <w:tcMar>
              <w:left w:w="45" w:type="dxa"/>
              <w:right w:w="45" w:type="dxa"/>
            </w:tcMar>
            <w:vAlign w:val="center"/>
          </w:tcPr>
          <w:p>
            <w:pPr>
              <w:widowControl/>
              <w:spacing w:line="300" w:lineRule="exact"/>
              <w:jc w:val="center"/>
              <w:rPr>
                <w:kern w:val="0"/>
                <w:szCs w:val="21"/>
              </w:rPr>
            </w:pPr>
          </w:p>
        </w:tc>
        <w:tc>
          <w:tcPr>
            <w:tcW w:w="417" w:type="dxa"/>
            <w:vAlign w:val="center"/>
          </w:tcPr>
          <w:p>
            <w:pPr>
              <w:widowControl/>
              <w:spacing w:line="300" w:lineRule="exact"/>
              <w:jc w:val="center"/>
              <w:rPr>
                <w:kern w:val="0"/>
                <w:szCs w:val="21"/>
              </w:rPr>
            </w:pPr>
          </w:p>
        </w:tc>
        <w:tc>
          <w:tcPr>
            <w:tcW w:w="513" w:type="dxa"/>
            <w:vAlign w:val="center"/>
          </w:tcPr>
          <w:p>
            <w:pPr>
              <w:widowControl/>
              <w:spacing w:line="300" w:lineRule="exact"/>
              <w:jc w:val="center"/>
              <w:rPr>
                <w:kern w:val="0"/>
                <w:szCs w:val="21"/>
              </w:rPr>
            </w:pPr>
          </w:p>
        </w:tc>
        <w:tc>
          <w:tcPr>
            <w:tcW w:w="1980" w:type="dxa"/>
            <w:vAlign w:val="center"/>
          </w:tcPr>
          <w:p>
            <w:pPr>
              <w:widowControl/>
              <w:spacing w:line="300" w:lineRule="exact"/>
              <w:jc w:val="left"/>
              <w:rPr>
                <w:kern w:val="0"/>
                <w:szCs w:val="21"/>
              </w:rPr>
            </w:pPr>
          </w:p>
        </w:tc>
        <w:tc>
          <w:tcPr>
            <w:tcW w:w="1182" w:type="dxa"/>
            <w:vAlign w:val="center"/>
          </w:tcPr>
          <w:p>
            <w:pPr>
              <w:widowControl/>
              <w:spacing w:line="300" w:lineRule="exact"/>
              <w:jc w:val="left"/>
              <w:rPr>
                <w:kern w:val="0"/>
                <w:szCs w:val="21"/>
              </w:rPr>
            </w:pPr>
          </w:p>
        </w:tc>
        <w:tc>
          <w:tcPr>
            <w:tcW w:w="1128" w:type="dxa"/>
            <w:gridSpan w:val="3"/>
            <w:vAlign w:val="center"/>
          </w:tcPr>
          <w:p>
            <w:pPr>
              <w:widowControl/>
              <w:spacing w:line="300" w:lineRule="exact"/>
              <w:jc w:val="left"/>
              <w:rPr>
                <w:kern w:val="0"/>
                <w:szCs w:val="21"/>
              </w:rPr>
            </w:pPr>
          </w:p>
        </w:tc>
      </w:tr>
    </w:tbl>
    <w:p>
      <w:pPr>
        <w:adjustRightInd w:val="0"/>
        <w:snapToGrid w:val="0"/>
        <w:spacing w:before="156" w:beforeLines="50"/>
        <w:jc w:val="left"/>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960" w:firstLineChars="400"/>
        <w:jc w:val="both"/>
        <w:textAlignment w:val="auto"/>
        <w:outlineLvl w:val="9"/>
        <w:rPr>
          <w:rFonts w:hint="eastAsia" w:ascii="仿宋_GB2312" w:eastAsia="仿宋_GB2312"/>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960" w:firstLineChars="400"/>
        <w:jc w:val="both"/>
        <w:textAlignment w:val="auto"/>
        <w:outlineLvl w:val="9"/>
        <w:rPr>
          <w:rFonts w:hint="eastAsia" w:ascii="仿宋_GB2312" w:eastAsia="仿宋_GB2312"/>
          <w:color w:val="000000"/>
          <w:sz w:val="24"/>
          <w:lang w:val="en-US" w:eastAsia="zh-CN"/>
        </w:rPr>
      </w:pPr>
      <w:r>
        <w:rPr>
          <w:rFonts w:hint="eastAsia" w:ascii="仿宋_GB2312" w:eastAsia="仿宋_GB2312"/>
          <w:color w:val="000000"/>
          <w:sz w:val="24"/>
          <w:lang w:val="en-US" w:eastAsia="zh-CN"/>
        </w:rPr>
        <w:t xml:space="preserve"> 实验室主任签字：                                                                  签字日期：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仿宋_GB2312" w:eastAsia="仿宋_GB2312"/>
          <w:color w:val="000000"/>
          <w:sz w:val="24"/>
          <w:lang w:val="en-US" w:eastAsia="zh-CN"/>
        </w:rPr>
      </w:pPr>
      <w:r>
        <w:rPr>
          <w:rFonts w:hint="eastAsia" w:ascii="仿宋_GB2312" w:eastAsia="仿宋_GB2312"/>
          <w:color w:val="00000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仿宋_GB2312" w:eastAsia="仿宋_GB2312"/>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960" w:firstLineChars="400"/>
        <w:jc w:val="both"/>
        <w:textAlignment w:val="auto"/>
        <w:outlineLvl w:val="9"/>
        <w:rPr>
          <w:rFonts w:hint="eastAsia" w:ascii="仿宋_GB2312" w:eastAsia="仿宋_GB2312"/>
          <w:color w:val="000000"/>
          <w:sz w:val="24"/>
          <w:lang w:val="en-US" w:eastAsia="zh-CN"/>
        </w:rPr>
      </w:pPr>
      <w:r>
        <w:rPr>
          <w:rFonts w:hint="eastAsia" w:ascii="仿宋_GB2312" w:eastAsia="仿宋_GB2312"/>
          <w:color w:val="000000"/>
          <w:sz w:val="24"/>
          <w:lang w:val="en-US" w:eastAsia="zh-CN"/>
        </w:rPr>
        <w:t xml:space="preserve"> 学院负责人签字：                                                                  签字日期：</w:t>
      </w:r>
    </w:p>
    <w:p>
      <w:pPr>
        <w:spacing w:before="156" w:beforeLines="50" w:line="360" w:lineRule="auto"/>
        <w:ind w:firstLine="630" w:firstLineChars="300"/>
        <w:rPr>
          <w:rFonts w:hint="eastAsia" w:ascii="仿宋_GB2312" w:hAnsi="宋体" w:eastAsia="仿宋_GB2312"/>
          <w:color w:val="000000"/>
        </w:rPr>
      </w:pPr>
    </w:p>
    <w:p>
      <w:pPr>
        <w:spacing w:before="156" w:beforeLines="50" w:line="360" w:lineRule="auto"/>
        <w:ind w:firstLine="630" w:firstLineChars="300"/>
        <w:rPr>
          <w:rFonts w:hint="eastAsia" w:ascii="仿宋_GB2312" w:hAnsi="宋体" w:eastAsia="仿宋_GB2312"/>
          <w:color w:val="000000"/>
        </w:rPr>
      </w:pPr>
      <w:r>
        <w:rPr>
          <w:rFonts w:hint="eastAsia" w:ascii="仿宋_GB2312" w:hAnsi="宋体" w:eastAsia="仿宋_GB2312"/>
          <w:color w:val="000000"/>
        </w:rPr>
        <w:t>注：1.请各实验室按照表中检查内容进行安全检查，并如实填写，交予</w:t>
      </w:r>
      <w:r>
        <w:rPr>
          <w:rFonts w:hint="eastAsia" w:ascii="仿宋_GB2312" w:hAnsi="宋体" w:eastAsia="仿宋_GB2312"/>
          <w:color w:val="000000"/>
          <w:lang w:eastAsia="zh-CN"/>
        </w:rPr>
        <w:t>学</w:t>
      </w:r>
      <w:r>
        <w:rPr>
          <w:rFonts w:hint="eastAsia" w:ascii="仿宋_GB2312" w:hAnsi="宋体" w:eastAsia="仿宋_GB2312"/>
          <w:color w:val="000000"/>
        </w:rPr>
        <w:t>院备存待查</w:t>
      </w:r>
      <w:r>
        <w:rPr>
          <w:rFonts w:hint="eastAsia" w:ascii="仿宋_GB2312" w:hAnsi="宋体" w:eastAsia="仿宋_GB2312"/>
          <w:color w:val="000000"/>
          <w:lang w:eastAsia="zh-CN"/>
        </w:rPr>
        <w:t>；</w:t>
      </w:r>
    </w:p>
    <w:p>
      <w:pPr>
        <w:spacing w:line="360" w:lineRule="auto"/>
        <w:ind w:firstLine="1050" w:firstLineChars="500"/>
        <w:rPr>
          <w:rFonts w:hint="eastAsia" w:ascii="仿宋_GB2312" w:hAnsi="宋体" w:eastAsia="仿宋_GB2312"/>
          <w:color w:val="000000"/>
        </w:rPr>
      </w:pPr>
      <w:r>
        <w:rPr>
          <w:rFonts w:hint="eastAsia" w:ascii="仿宋_GB2312" w:hAnsi="宋体" w:eastAsia="仿宋_GB2312"/>
          <w:color w:val="000000"/>
        </w:rPr>
        <w:t>2.表中实验室包含：本科实验室、科研实验室、重点实验室、工程训练中心等各类实验室</w:t>
      </w:r>
      <w:r>
        <w:rPr>
          <w:rFonts w:hint="eastAsia" w:ascii="仿宋_GB2312" w:hAnsi="宋体" w:eastAsia="仿宋_GB2312"/>
          <w:color w:val="000000"/>
          <w:lang w:eastAsia="zh-CN"/>
        </w:rPr>
        <w:t>；</w:t>
      </w:r>
    </w:p>
    <w:p>
      <w:pPr>
        <w:spacing w:line="360" w:lineRule="auto"/>
        <w:ind w:firstLine="1050" w:firstLineChars="500"/>
      </w:pPr>
      <w:r>
        <w:rPr>
          <w:rFonts w:hint="eastAsia" w:ascii="仿宋_GB2312" w:hAnsi="宋体" w:eastAsia="仿宋_GB2312"/>
          <w:color w:val="000000"/>
        </w:rPr>
        <w:t>3.根据检查情况，请在表中对应栏打“√”。</w:t>
      </w:r>
    </w:p>
    <w:sectPr>
      <w:footerReference r:id="rId3" w:type="default"/>
      <w:pgSz w:w="16838" w:h="11906" w:orient="landscape"/>
      <w:pgMar w:top="1247" w:right="1418" w:bottom="113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2680932"/>
      <w:docPartObj>
        <w:docPartGallery w:val="autotext"/>
      </w:docPartObj>
    </w:sdtPr>
    <w:sdtContent>
      <w:p>
        <w:pPr>
          <w:pStyle w:val="2"/>
          <w:jc w:val="center"/>
        </w:pPr>
        <w:r>
          <w:fldChar w:fldCharType="begin"/>
        </w:r>
        <w:r>
          <w:instrText xml:space="preserve">PAGE   \* MERGEFORMAT</w:instrText>
        </w:r>
        <w:r>
          <w:fldChar w:fldCharType="separate"/>
        </w:r>
        <w:r>
          <w:rPr>
            <w:lang w:val="zh-CN"/>
          </w:rPr>
          <w:t>30</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9079F"/>
    <w:rsid w:val="13A9079F"/>
    <w:rsid w:val="28B45DC3"/>
    <w:rsid w:val="3E8478FC"/>
    <w:rsid w:val="67E844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2018-06-25T02:05:00Z</dcterms:created>
  <dc:creator>MQ8106</dc:creator>
  <cp:lastModifiedBy>MQ8106</cp:lastModifiedBy>
  <dcterms:modified xsi:type="dcterms:W3CDTF">2018-06-25T07:51:53Z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